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360B" w14:textId="52C28BF7" w:rsidR="00314854" w:rsidRDefault="5E566D21">
      <w:pPr>
        <w:pStyle w:val="Heading1"/>
      </w:pPr>
      <w:r>
        <w:t>Self-Assessment</w:t>
      </w:r>
      <w:r w:rsidR="00696E95">
        <w:t xml:space="preserve"> </w:t>
      </w:r>
      <w:r w:rsidR="00F42EE0">
        <w:t>Trust and Estate</w:t>
      </w:r>
      <w:r w:rsidR="00696E95">
        <w:t xml:space="preserve"> Specials and Exclusions for online filing </w:t>
      </w:r>
      <w:r w:rsidR="006D1A0B">
        <w:t>–</w:t>
      </w:r>
      <w:r w:rsidR="00696E95">
        <w:t xml:space="preserve"> 20</w:t>
      </w:r>
      <w:r w:rsidR="006D1A0B">
        <w:t>2</w:t>
      </w:r>
      <w:r w:rsidR="00394C95">
        <w:t>2 to 2023</w:t>
      </w:r>
    </w:p>
    <w:p w14:paraId="796131B0" w14:textId="77777777" w:rsidR="00314854" w:rsidRDefault="00314854"/>
    <w:p w14:paraId="20BC2A25" w14:textId="77777777" w:rsidR="00314854" w:rsidRDefault="00696E95">
      <w:pPr>
        <w:pStyle w:val="Heading2"/>
      </w:pPr>
      <w:r>
        <w:t>Special Cases</w:t>
      </w:r>
    </w:p>
    <w:p w14:paraId="6DA994FF" w14:textId="77777777" w:rsidR="00314854" w:rsidRDefault="00314854"/>
    <w:p w14:paraId="1DC5E663" w14:textId="77777777" w:rsidR="00314854" w:rsidRDefault="00696E95">
      <w:pPr>
        <w:pStyle w:val="ListParagraph"/>
        <w:numPr>
          <w:ilvl w:val="0"/>
          <w:numId w:val="1"/>
        </w:numPr>
      </w:pPr>
      <w:r>
        <w:t>Most developers will have taken the following items into account in their software. If a customer does find though that they cannot file online for one of these reasons, a claim for reasonable excuse should accompany the paper return.</w:t>
      </w:r>
    </w:p>
    <w:p w14:paraId="4C241F3C" w14:textId="6457F800" w:rsidR="00314854" w:rsidRDefault="00696E95">
      <w:pPr>
        <w:pStyle w:val="ListParagraph"/>
        <w:numPr>
          <w:ilvl w:val="0"/>
          <w:numId w:val="1"/>
        </w:numPr>
      </w:pPr>
      <w:r>
        <w:t xml:space="preserve">Any paper return submitted must conform to the normal rules for paper returns even if it is a </w:t>
      </w:r>
      <w:r w:rsidR="1820524B">
        <w:t>computer-generated</w:t>
      </w:r>
      <w:r>
        <w:t xml:space="preserve"> paper return </w:t>
      </w:r>
      <w:r w:rsidR="136A4C81">
        <w:t>e.g.,</w:t>
      </w:r>
      <w:r>
        <w:t xml:space="preserve"> it must hold a valid signature.</w:t>
      </w:r>
    </w:p>
    <w:p w14:paraId="20CF0E46" w14:textId="6FCE857F" w:rsidR="00314854" w:rsidRDefault="00696E95">
      <w:pPr>
        <w:pStyle w:val="ListParagraph"/>
        <w:numPr>
          <w:ilvl w:val="0"/>
          <w:numId w:val="1"/>
        </w:numPr>
      </w:pPr>
      <w: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60E43C91" w14:textId="6EB0AB34" w:rsidR="008E19A2" w:rsidRPr="008E19A2" w:rsidRDefault="008E19A2" w:rsidP="7F6BFC6E">
      <w:pPr>
        <w:pStyle w:val="ListParagraph"/>
        <w:numPr>
          <w:ilvl w:val="0"/>
          <w:numId w:val="1"/>
        </w:numPr>
        <w:rPr>
          <w:rStyle w:val="eop"/>
        </w:rPr>
      </w:pPr>
      <w:r w:rsidRPr="7F6BFC6E">
        <w:rPr>
          <w:rStyle w:val="normaltextrun"/>
          <w:rFonts w:cs="Arial"/>
          <w:color w:val="000000"/>
          <w:shd w:val="clear" w:color="auto" w:fill="FFFFFF"/>
        </w:rPr>
        <w:t>Specials have been separated into two categories. The above points apply equally for both categories. Category 1 lists the System related Specials that have been in place for several tax years and will require significant system and CESA alterations to be removed. Category 2 lists the "live" Specials that are active during the relevant tax year but are reviewed by HMRC and a future fix is being considered.</w:t>
      </w:r>
      <w:r w:rsidRPr="7F6BFC6E">
        <w:rPr>
          <w:rStyle w:val="eop"/>
          <w:rFonts w:cs="Arial"/>
          <w:color w:val="000000"/>
          <w:shd w:val="clear" w:color="auto" w:fill="FFFFFF"/>
        </w:rPr>
        <w:t> </w:t>
      </w:r>
    </w:p>
    <w:p w14:paraId="0AA4EEAB" w14:textId="4D23CE6B" w:rsidR="008E19A2" w:rsidRDefault="008E19A2" w:rsidP="008E19A2"/>
    <w:p w14:paraId="0B8EAE73" w14:textId="77777777" w:rsidR="00A27F66" w:rsidRDefault="00A27F66" w:rsidP="008E19A2">
      <w:pPr>
        <w:rPr>
          <w:rStyle w:val="normaltextrun"/>
          <w:rFonts w:cs="Arial"/>
          <w:b/>
          <w:bCs/>
          <w:color w:val="000000"/>
          <w:sz w:val="28"/>
          <w:szCs w:val="28"/>
          <w:shd w:val="clear" w:color="auto" w:fill="FFFFFF"/>
        </w:rPr>
      </w:pPr>
    </w:p>
    <w:p w14:paraId="210FAA3F" w14:textId="77777777" w:rsidR="00A27F66" w:rsidRDefault="00A27F66" w:rsidP="008E19A2">
      <w:pPr>
        <w:rPr>
          <w:rStyle w:val="normaltextrun"/>
          <w:rFonts w:cs="Arial"/>
          <w:b/>
          <w:bCs/>
          <w:color w:val="000000"/>
          <w:sz w:val="28"/>
          <w:szCs w:val="28"/>
          <w:shd w:val="clear" w:color="auto" w:fill="FFFFFF"/>
        </w:rPr>
      </w:pPr>
    </w:p>
    <w:p w14:paraId="18CD7E21" w14:textId="77777777" w:rsidR="00A27F66" w:rsidRDefault="00A27F66" w:rsidP="008E19A2">
      <w:pPr>
        <w:rPr>
          <w:rStyle w:val="normaltextrun"/>
          <w:rFonts w:cs="Arial"/>
          <w:b/>
          <w:bCs/>
          <w:color w:val="000000"/>
          <w:sz w:val="28"/>
          <w:szCs w:val="28"/>
          <w:shd w:val="clear" w:color="auto" w:fill="FFFFFF"/>
        </w:rPr>
      </w:pPr>
    </w:p>
    <w:p w14:paraId="43CD5E96" w14:textId="77777777" w:rsidR="00A27F66" w:rsidRDefault="00A27F66" w:rsidP="008E19A2">
      <w:pPr>
        <w:rPr>
          <w:rStyle w:val="normaltextrun"/>
          <w:rFonts w:cs="Arial"/>
          <w:b/>
          <w:bCs/>
          <w:color w:val="000000"/>
          <w:sz w:val="28"/>
          <w:szCs w:val="28"/>
          <w:shd w:val="clear" w:color="auto" w:fill="FFFFFF"/>
        </w:rPr>
      </w:pPr>
    </w:p>
    <w:p w14:paraId="33F48A91" w14:textId="77777777" w:rsidR="00A27F66" w:rsidRDefault="00A27F66" w:rsidP="008E19A2">
      <w:pPr>
        <w:rPr>
          <w:rStyle w:val="normaltextrun"/>
          <w:rFonts w:cs="Arial"/>
          <w:b/>
          <w:bCs/>
          <w:color w:val="000000"/>
          <w:sz w:val="28"/>
          <w:szCs w:val="28"/>
          <w:shd w:val="clear" w:color="auto" w:fill="FFFFFF"/>
        </w:rPr>
      </w:pPr>
    </w:p>
    <w:p w14:paraId="61F849BB" w14:textId="77777777" w:rsidR="00A27F66" w:rsidRDefault="00A27F66" w:rsidP="008E19A2">
      <w:pPr>
        <w:rPr>
          <w:rStyle w:val="normaltextrun"/>
          <w:rFonts w:cs="Arial"/>
          <w:b/>
          <w:bCs/>
          <w:color w:val="000000"/>
          <w:sz w:val="28"/>
          <w:szCs w:val="28"/>
          <w:shd w:val="clear" w:color="auto" w:fill="FFFFFF"/>
        </w:rPr>
      </w:pPr>
    </w:p>
    <w:p w14:paraId="71B2AC6B" w14:textId="0D3165D3" w:rsidR="008E19A2" w:rsidRDefault="008E19A2" w:rsidP="008E19A2">
      <w:r>
        <w:rPr>
          <w:rStyle w:val="normaltextrun"/>
          <w:rFonts w:cs="Arial"/>
          <w:b/>
          <w:bCs/>
          <w:color w:val="000000"/>
          <w:sz w:val="28"/>
          <w:szCs w:val="28"/>
          <w:shd w:val="clear" w:color="auto" w:fill="FFFFFF"/>
        </w:rPr>
        <w:lastRenderedPageBreak/>
        <w:t xml:space="preserve">Category 1 - System Related Specials: </w:t>
      </w:r>
      <w:r w:rsidR="00A27F66" w:rsidRPr="00A27F66">
        <w:rPr>
          <w:rStyle w:val="normaltextrun"/>
          <w:rFonts w:cs="Arial"/>
          <w:b/>
          <w:color w:val="000000"/>
          <w:sz w:val="28"/>
          <w:szCs w:val="28"/>
          <w:shd w:val="clear" w:color="auto" w:fill="FFFFFF"/>
        </w:rPr>
        <w:t>5</w:t>
      </w:r>
    </w:p>
    <w:p w14:paraId="46341BDA" w14:textId="77777777" w:rsidR="008E19A2" w:rsidRDefault="008E19A2" w:rsidP="008E19A2"/>
    <w:tbl>
      <w:tblPr>
        <w:tblStyle w:val="GridTable1Light"/>
        <w:tblW w:w="14029" w:type="dxa"/>
        <w:tblLook w:val="0020" w:firstRow="1" w:lastRow="0" w:firstColumn="0" w:lastColumn="0" w:noHBand="0" w:noVBand="0"/>
      </w:tblPr>
      <w:tblGrid>
        <w:gridCol w:w="983"/>
        <w:gridCol w:w="1427"/>
        <w:gridCol w:w="5477"/>
        <w:gridCol w:w="5025"/>
        <w:gridCol w:w="1117"/>
      </w:tblGrid>
      <w:tr w:rsidR="00314854" w14:paraId="7A46A291" w14:textId="77777777" w:rsidTr="47E242AA">
        <w:trPr>
          <w:cnfStyle w:val="100000000000" w:firstRow="1" w:lastRow="0" w:firstColumn="0" w:lastColumn="0" w:oddVBand="0" w:evenVBand="0" w:oddHBand="0" w:evenHBand="0" w:firstRowFirstColumn="0" w:firstRowLastColumn="0" w:lastRowFirstColumn="0" w:lastRowLastColumn="0"/>
          <w:tblHeader/>
        </w:trPr>
        <w:tc>
          <w:tcPr>
            <w:tcW w:w="983" w:type="dxa"/>
          </w:tcPr>
          <w:p w14:paraId="4263663A" w14:textId="77777777" w:rsidR="00314854" w:rsidRDefault="00696E95">
            <w:pPr>
              <w:rPr>
                <w:b w:val="0"/>
                <w:bCs w:val="0"/>
              </w:rPr>
            </w:pPr>
            <w:r>
              <w:t>Unique ID</w:t>
            </w:r>
          </w:p>
        </w:tc>
        <w:tc>
          <w:tcPr>
            <w:tcW w:w="1427" w:type="dxa"/>
          </w:tcPr>
          <w:p w14:paraId="7A558DE4" w14:textId="77777777" w:rsidR="00314854" w:rsidRDefault="00696E95">
            <w:pPr>
              <w:rPr>
                <w:b w:val="0"/>
                <w:bCs w:val="0"/>
              </w:rPr>
            </w:pPr>
            <w:r>
              <w:t>Box number</w:t>
            </w:r>
          </w:p>
        </w:tc>
        <w:tc>
          <w:tcPr>
            <w:tcW w:w="5477" w:type="dxa"/>
          </w:tcPr>
          <w:p w14:paraId="3F316754" w14:textId="77777777" w:rsidR="00314854" w:rsidRDefault="00696E95">
            <w:pPr>
              <w:rPr>
                <w:b w:val="0"/>
                <w:bCs w:val="0"/>
              </w:rPr>
            </w:pPr>
            <w:r>
              <w:t>Issue</w:t>
            </w:r>
          </w:p>
        </w:tc>
        <w:tc>
          <w:tcPr>
            <w:tcW w:w="5025" w:type="dxa"/>
          </w:tcPr>
          <w:p w14:paraId="6555D2F6" w14:textId="77777777" w:rsidR="00314854" w:rsidRDefault="00696E95">
            <w:pPr>
              <w:rPr>
                <w:b w:val="0"/>
                <w:bCs w:val="0"/>
              </w:rPr>
            </w:pPr>
            <w:r>
              <w:t>Workaround</w:t>
            </w:r>
          </w:p>
        </w:tc>
        <w:tc>
          <w:tcPr>
            <w:tcW w:w="1117" w:type="dxa"/>
          </w:tcPr>
          <w:p w14:paraId="288B1237" w14:textId="77777777" w:rsidR="00314854" w:rsidRDefault="00696E95">
            <w:pPr>
              <w:rPr>
                <w:b w:val="0"/>
                <w:bCs w:val="0"/>
              </w:rPr>
            </w:pPr>
            <w:r>
              <w:t>Status</w:t>
            </w:r>
          </w:p>
        </w:tc>
      </w:tr>
      <w:tr w:rsidR="00314854" w14:paraId="778DF3CE" w14:textId="77777777" w:rsidTr="47E242AA">
        <w:trPr>
          <w:cantSplit/>
        </w:trPr>
        <w:tc>
          <w:tcPr>
            <w:tcW w:w="983" w:type="dxa"/>
            <w:vAlign w:val="center"/>
          </w:tcPr>
          <w:p w14:paraId="2CEC0070" w14:textId="06BE15A1" w:rsidR="00314854" w:rsidRDefault="00314854" w:rsidP="47E242AA">
            <w:pPr>
              <w:jc w:val="center"/>
              <w:rPr>
                <w:b/>
                <w:bCs/>
              </w:rPr>
            </w:pPr>
          </w:p>
          <w:p w14:paraId="5B4B7194" w14:textId="77777777" w:rsidR="0031754E" w:rsidRPr="0031754E" w:rsidRDefault="0031754E" w:rsidP="004D0979">
            <w:pPr>
              <w:jc w:val="center"/>
            </w:pPr>
          </w:p>
          <w:p w14:paraId="59A74EF2" w14:textId="77777777" w:rsidR="0031754E" w:rsidRPr="0031754E" w:rsidRDefault="0031754E" w:rsidP="004D0979">
            <w:pPr>
              <w:jc w:val="center"/>
            </w:pPr>
          </w:p>
          <w:p w14:paraId="6204FBFD" w14:textId="77777777" w:rsidR="0031754E" w:rsidRPr="0031754E" w:rsidRDefault="0031754E" w:rsidP="004D0979">
            <w:pPr>
              <w:jc w:val="center"/>
            </w:pPr>
          </w:p>
          <w:p w14:paraId="71B2AB28" w14:textId="77777777" w:rsidR="0031754E" w:rsidRPr="0031754E" w:rsidRDefault="0031754E" w:rsidP="004D0979">
            <w:pPr>
              <w:jc w:val="center"/>
            </w:pPr>
          </w:p>
          <w:p w14:paraId="06307CB4" w14:textId="77777777" w:rsidR="0031754E" w:rsidRPr="0031754E" w:rsidRDefault="0031754E" w:rsidP="004D0979">
            <w:pPr>
              <w:jc w:val="center"/>
            </w:pPr>
          </w:p>
          <w:p w14:paraId="05500A42" w14:textId="77777777" w:rsidR="0031754E" w:rsidRPr="0031754E" w:rsidRDefault="0031754E" w:rsidP="004D0979">
            <w:pPr>
              <w:jc w:val="center"/>
            </w:pPr>
          </w:p>
          <w:p w14:paraId="07109C24" w14:textId="77777777" w:rsidR="0031754E" w:rsidRPr="0031754E" w:rsidRDefault="0031754E" w:rsidP="004D0979">
            <w:pPr>
              <w:jc w:val="center"/>
            </w:pPr>
          </w:p>
          <w:p w14:paraId="5621AEBC" w14:textId="51116CE9" w:rsidR="0031754E" w:rsidRPr="0031754E" w:rsidRDefault="147D49D0" w:rsidP="004D0979">
            <w:pPr>
              <w:jc w:val="center"/>
            </w:pPr>
            <w:r>
              <w:t>1</w:t>
            </w:r>
          </w:p>
          <w:p w14:paraId="636DF23A" w14:textId="77777777" w:rsidR="0031754E" w:rsidRPr="0031754E" w:rsidRDefault="0031754E" w:rsidP="004D0979">
            <w:pPr>
              <w:jc w:val="center"/>
            </w:pPr>
          </w:p>
          <w:p w14:paraId="6F4DE262" w14:textId="77777777" w:rsidR="0031754E" w:rsidRPr="0031754E" w:rsidRDefault="0031754E" w:rsidP="004D0979">
            <w:pPr>
              <w:jc w:val="center"/>
            </w:pPr>
          </w:p>
          <w:p w14:paraId="108588FC" w14:textId="77777777" w:rsidR="0031754E" w:rsidRDefault="0031754E" w:rsidP="004D0979">
            <w:pPr>
              <w:jc w:val="center"/>
              <w:rPr>
                <w:b/>
                <w:bCs/>
              </w:rPr>
            </w:pPr>
          </w:p>
          <w:p w14:paraId="01ED881A" w14:textId="77777777" w:rsidR="0031754E" w:rsidRPr="0031754E" w:rsidRDefault="0031754E" w:rsidP="004D0979">
            <w:pPr>
              <w:jc w:val="center"/>
            </w:pPr>
          </w:p>
          <w:p w14:paraId="421093FE" w14:textId="77777777" w:rsidR="0031754E" w:rsidRPr="0031754E" w:rsidRDefault="0031754E" w:rsidP="004D0979">
            <w:pPr>
              <w:jc w:val="center"/>
            </w:pPr>
          </w:p>
          <w:p w14:paraId="52C5837E" w14:textId="77777777" w:rsidR="0031754E" w:rsidRPr="0031754E" w:rsidRDefault="0031754E" w:rsidP="004D0979">
            <w:pPr>
              <w:jc w:val="center"/>
            </w:pPr>
          </w:p>
          <w:p w14:paraId="3854B5E8" w14:textId="77777777" w:rsidR="0031754E" w:rsidRPr="0031754E" w:rsidRDefault="0031754E" w:rsidP="004D0979">
            <w:pPr>
              <w:jc w:val="center"/>
            </w:pPr>
          </w:p>
          <w:p w14:paraId="02D785AC" w14:textId="7E525A07" w:rsidR="0031754E" w:rsidRPr="0031754E" w:rsidRDefault="0031754E" w:rsidP="004D0979">
            <w:pPr>
              <w:jc w:val="center"/>
            </w:pPr>
          </w:p>
        </w:tc>
        <w:tc>
          <w:tcPr>
            <w:tcW w:w="1427" w:type="dxa"/>
            <w:vAlign w:val="center"/>
          </w:tcPr>
          <w:p w14:paraId="212FC7AA" w14:textId="77777777" w:rsidR="00314854" w:rsidRDefault="00696E95" w:rsidP="004D0979">
            <w:pPr>
              <w:jc w:val="center"/>
            </w:pPr>
            <w:r>
              <w:t>Documents etc required to be submitted with return</w:t>
            </w:r>
          </w:p>
        </w:tc>
        <w:tc>
          <w:tcPr>
            <w:tcW w:w="5477" w:type="dxa"/>
            <w:vAlign w:val="center"/>
          </w:tcPr>
          <w:p w14:paraId="410B96BB" w14:textId="77777777" w:rsidR="00314854" w:rsidRDefault="00696E95" w:rsidP="47E242AA">
            <w:r>
              <w:t>Where the return Guidance asks for documents to be sent with the return, you should submit the document as an attachment. The total file size of these attachments must not exceed 5MB before encoding. Where you do not provide an attachment facility in your product, or it would not be appropriate to send the information via the electronic attachment feature the return should be submitted electronically and any paper document sent to the relevant HMRC office no later than 1 month after the return is filed electronically.</w:t>
            </w:r>
          </w:p>
        </w:tc>
        <w:tc>
          <w:tcPr>
            <w:tcW w:w="5025" w:type="dxa"/>
            <w:vAlign w:val="center"/>
          </w:tcPr>
          <w:p w14:paraId="74A269D5" w14:textId="77777777" w:rsidR="00314854" w:rsidRDefault="00696E95" w:rsidP="47E242AA">
            <w:r>
              <w:t>For information</w:t>
            </w:r>
          </w:p>
        </w:tc>
        <w:tc>
          <w:tcPr>
            <w:tcW w:w="1117" w:type="dxa"/>
            <w:vAlign w:val="center"/>
          </w:tcPr>
          <w:p w14:paraId="15C311C8" w14:textId="77777777" w:rsidR="00314854" w:rsidRDefault="00696E95" w:rsidP="004D0979">
            <w:pPr>
              <w:jc w:val="center"/>
            </w:pPr>
            <w:r>
              <w:t>-</w:t>
            </w:r>
          </w:p>
        </w:tc>
      </w:tr>
      <w:tr w:rsidR="00314854" w14:paraId="126C9613" w14:textId="77777777" w:rsidTr="47E242AA">
        <w:trPr>
          <w:cantSplit/>
        </w:trPr>
        <w:tc>
          <w:tcPr>
            <w:tcW w:w="983" w:type="dxa"/>
            <w:vAlign w:val="center"/>
          </w:tcPr>
          <w:p w14:paraId="1BCF10FC" w14:textId="77777777" w:rsidR="00314854" w:rsidRPr="00C96E8C" w:rsidRDefault="00696E95" w:rsidP="004D0979">
            <w:pPr>
              <w:jc w:val="center"/>
              <w:rPr>
                <w:bCs/>
              </w:rPr>
            </w:pPr>
            <w:r w:rsidRPr="00C96E8C">
              <w:rPr>
                <w:bCs/>
              </w:rPr>
              <w:lastRenderedPageBreak/>
              <w:t>2</w:t>
            </w:r>
          </w:p>
        </w:tc>
        <w:tc>
          <w:tcPr>
            <w:tcW w:w="1427" w:type="dxa"/>
            <w:vAlign w:val="center"/>
          </w:tcPr>
          <w:p w14:paraId="71CB63CB" w14:textId="45F285E8" w:rsidR="00314854" w:rsidRDefault="00117B83" w:rsidP="004D0979">
            <w:pPr>
              <w:jc w:val="center"/>
            </w:pPr>
            <w:r w:rsidRPr="00117B83">
              <w:t>Repayment to nominee</w:t>
            </w:r>
          </w:p>
        </w:tc>
        <w:tc>
          <w:tcPr>
            <w:tcW w:w="5477" w:type="dxa"/>
            <w:vAlign w:val="center"/>
          </w:tcPr>
          <w:p w14:paraId="036EFC1C" w14:textId="77777777" w:rsidR="00117B83" w:rsidRDefault="00117B83" w:rsidP="47E242AA">
            <w:r>
              <w:t>Where the return information is transmitted by the taxpayer or a Filing Only Agent and it contains a request for repayment to a nominee, the submission of the return via the Internet will be taken as the taxpayer’s authority to repay the nominee.</w:t>
            </w:r>
          </w:p>
          <w:p w14:paraId="53CA6642" w14:textId="77777777" w:rsidR="00117B83" w:rsidRDefault="00117B83" w:rsidP="47E242AA"/>
          <w:p w14:paraId="16C1D2A3" w14:textId="5D3D62B3" w:rsidR="00117B83" w:rsidRDefault="00117B83" w:rsidP="47E242AA">
            <w:r>
              <w:t xml:space="preserve">Where the return information is transmitted by a Filing Only </w:t>
            </w:r>
            <w:r w:rsidR="00984847">
              <w:t>Agent,</w:t>
            </w:r>
            <w:r>
              <w:t xml:space="preserve"> and it contains a request for repayment (over a certain level) to:</w:t>
            </w:r>
          </w:p>
          <w:p w14:paraId="24BA76D5" w14:textId="77777777" w:rsidR="00117B83" w:rsidRDefault="00117B83" w:rsidP="47E242AA"/>
          <w:p w14:paraId="206D8506" w14:textId="77777777" w:rsidR="00117B83" w:rsidRDefault="00117B83" w:rsidP="47E242AA">
            <w:r>
              <w:t>• the taxpayer, by payable order, with a change of address for the taxpayer</w:t>
            </w:r>
          </w:p>
          <w:p w14:paraId="24950123" w14:textId="77777777" w:rsidR="00117B83" w:rsidRDefault="00117B83" w:rsidP="47E242AA">
            <w:r>
              <w:t>• a nominee</w:t>
            </w:r>
          </w:p>
          <w:p w14:paraId="035959E9" w14:textId="77777777" w:rsidR="00117B83" w:rsidRDefault="00117B83" w:rsidP="47E242AA"/>
          <w:p w14:paraId="22C05131" w14:textId="15DAE9FB" w:rsidR="00314854" w:rsidRDefault="00117B83" w:rsidP="47E242AA">
            <w:r>
              <w:t>the automatic creation of the repayment will be inhibited until further clerical action has been undertaken.</w:t>
            </w:r>
          </w:p>
        </w:tc>
        <w:tc>
          <w:tcPr>
            <w:tcW w:w="5025" w:type="dxa"/>
            <w:vAlign w:val="center"/>
          </w:tcPr>
          <w:p w14:paraId="46F794C0" w14:textId="77777777" w:rsidR="00314854" w:rsidRDefault="00696E95" w:rsidP="47E242AA">
            <w:r>
              <w:t>For information</w:t>
            </w:r>
          </w:p>
        </w:tc>
        <w:tc>
          <w:tcPr>
            <w:tcW w:w="1117" w:type="dxa"/>
            <w:vAlign w:val="center"/>
          </w:tcPr>
          <w:p w14:paraId="23125C53" w14:textId="77777777" w:rsidR="00314854" w:rsidRDefault="00696E95" w:rsidP="004D0979">
            <w:pPr>
              <w:jc w:val="center"/>
            </w:pPr>
            <w:r>
              <w:t>-</w:t>
            </w:r>
          </w:p>
        </w:tc>
      </w:tr>
      <w:tr w:rsidR="00314854" w14:paraId="715BD016" w14:textId="77777777" w:rsidTr="47E242AA">
        <w:trPr>
          <w:cantSplit/>
        </w:trPr>
        <w:tc>
          <w:tcPr>
            <w:tcW w:w="983" w:type="dxa"/>
            <w:vAlign w:val="center"/>
          </w:tcPr>
          <w:p w14:paraId="6AC61A09" w14:textId="77777777" w:rsidR="00314854" w:rsidRPr="00C96E8C" w:rsidRDefault="00696E95" w:rsidP="004D0979">
            <w:pPr>
              <w:jc w:val="center"/>
              <w:rPr>
                <w:bCs/>
              </w:rPr>
            </w:pPr>
            <w:r w:rsidRPr="00C96E8C">
              <w:rPr>
                <w:bCs/>
              </w:rPr>
              <w:t>3</w:t>
            </w:r>
          </w:p>
        </w:tc>
        <w:tc>
          <w:tcPr>
            <w:tcW w:w="1427" w:type="dxa"/>
            <w:vAlign w:val="center"/>
          </w:tcPr>
          <w:p w14:paraId="4CE1C1E1" w14:textId="77777777" w:rsidR="00314854" w:rsidRDefault="00696E95" w:rsidP="004D0979">
            <w:pPr>
              <w:jc w:val="center"/>
            </w:pPr>
            <w:r>
              <w:t>More than one accounting period</w:t>
            </w:r>
          </w:p>
        </w:tc>
        <w:tc>
          <w:tcPr>
            <w:tcW w:w="5477" w:type="dxa"/>
            <w:vAlign w:val="center"/>
          </w:tcPr>
          <w:p w14:paraId="75F03D12" w14:textId="0E34C732" w:rsidR="00117B83" w:rsidRDefault="00117B83" w:rsidP="47E242AA">
            <w:r>
              <w:t>Where there is more than one set of accounts for the basis period separate Trade pages should be completed for each set of accounts. However, only one set of Trade pages should be filed by the Internet. These pages should be completed with details for the latest accounting period and boxes 1.74 to 1.98, as appropriate should be completed to arrive at the taxable profit for the basis period.</w:t>
            </w:r>
          </w:p>
          <w:p w14:paraId="1C63D2D4" w14:textId="77777777" w:rsidR="00117B83" w:rsidRDefault="00117B83" w:rsidP="47E242AA"/>
          <w:p w14:paraId="66660CE6" w14:textId="3C9BC916" w:rsidR="00314854" w:rsidRDefault="00117B83" w:rsidP="47E242AA">
            <w:r>
              <w:t>Additional Trade pages for any other accounting periods should be submitted by paper separately with a covering letter explaining that they form part of the return which has been submitted electronically and are for information purposes only. Boxes 1.74 to 1.98 should not be completed on these additional pages.</w:t>
            </w:r>
          </w:p>
        </w:tc>
        <w:tc>
          <w:tcPr>
            <w:tcW w:w="5025" w:type="dxa"/>
            <w:vAlign w:val="center"/>
          </w:tcPr>
          <w:p w14:paraId="7409BC87" w14:textId="77777777" w:rsidR="00314854" w:rsidRDefault="00696E95" w:rsidP="47E242AA">
            <w:r>
              <w:t>For information</w:t>
            </w:r>
          </w:p>
        </w:tc>
        <w:tc>
          <w:tcPr>
            <w:tcW w:w="1117" w:type="dxa"/>
            <w:vAlign w:val="center"/>
          </w:tcPr>
          <w:p w14:paraId="3492733E" w14:textId="77777777" w:rsidR="00314854" w:rsidRDefault="00696E95" w:rsidP="004D0979">
            <w:pPr>
              <w:jc w:val="center"/>
            </w:pPr>
            <w:r>
              <w:t>-</w:t>
            </w:r>
          </w:p>
        </w:tc>
      </w:tr>
      <w:tr w:rsidR="00314854" w14:paraId="4A0A938F" w14:textId="77777777" w:rsidTr="47E242AA">
        <w:trPr>
          <w:cantSplit/>
        </w:trPr>
        <w:tc>
          <w:tcPr>
            <w:tcW w:w="983" w:type="dxa"/>
            <w:vAlign w:val="center"/>
          </w:tcPr>
          <w:p w14:paraId="6A4ACF88" w14:textId="77777777" w:rsidR="00314854" w:rsidRPr="00C96E8C" w:rsidRDefault="00696E95" w:rsidP="004D0979">
            <w:pPr>
              <w:jc w:val="center"/>
              <w:rPr>
                <w:bCs/>
              </w:rPr>
            </w:pPr>
            <w:r w:rsidRPr="00C96E8C">
              <w:rPr>
                <w:bCs/>
              </w:rPr>
              <w:lastRenderedPageBreak/>
              <w:t>4</w:t>
            </w:r>
          </w:p>
        </w:tc>
        <w:tc>
          <w:tcPr>
            <w:tcW w:w="1427" w:type="dxa"/>
            <w:vAlign w:val="center"/>
          </w:tcPr>
          <w:p w14:paraId="530871D7" w14:textId="77777777" w:rsidR="00314854" w:rsidRDefault="00696E95" w:rsidP="004D0979">
            <w:pPr>
              <w:jc w:val="center"/>
            </w:pPr>
            <w:r>
              <w:t>Limit restrictions on iterative boxes</w:t>
            </w:r>
          </w:p>
        </w:tc>
        <w:tc>
          <w:tcPr>
            <w:tcW w:w="5477" w:type="dxa"/>
            <w:vAlign w:val="center"/>
          </w:tcPr>
          <w:p w14:paraId="0604325B" w14:textId="7F2846AF" w:rsidR="00314854" w:rsidRDefault="00696E95" w:rsidP="47E242AA">
            <w:r>
              <w:t>If you attempt to submit more boxes (</w:t>
            </w:r>
            <w:r w:rsidR="664FE174">
              <w:t>i.e.,</w:t>
            </w:r>
            <w:r>
              <w:t xml:space="preserve"> iterative) than is allowed by the schema (technical documentation) your return will fail when filed online, unless you follow the workaround.</w:t>
            </w:r>
          </w:p>
        </w:tc>
        <w:tc>
          <w:tcPr>
            <w:tcW w:w="5025" w:type="dxa"/>
            <w:vAlign w:val="center"/>
          </w:tcPr>
          <w:p w14:paraId="6A0C7A17" w14:textId="77777777" w:rsidR="00314854" w:rsidRDefault="00696E95" w:rsidP="47E242AA">
            <w:r>
              <w:t>If, exceptionally, you have more items to include in a section than the schema (technical documentation) allows, amalgamate items as follows (but it is permissible for you to amalgamate as seems sensible):</w:t>
            </w:r>
          </w:p>
          <w:p w14:paraId="7BB4A48F" w14:textId="77777777" w:rsidR="00314854" w:rsidRDefault="00314854" w:rsidP="47E242AA"/>
          <w:p w14:paraId="5C1A0AD8" w14:textId="77777777" w:rsidR="00696E95" w:rsidRDefault="00696E95" w:rsidP="47E242AA">
            <w:pPr>
              <w:pStyle w:val="ListParagraph"/>
              <w:numPr>
                <w:ilvl w:val="0"/>
                <w:numId w:val="3"/>
              </w:numPr>
            </w:pPr>
            <w:r>
              <w:t>Complete all but the final entry line as normal.</w:t>
            </w:r>
          </w:p>
          <w:p w14:paraId="6E1ED4E9" w14:textId="19CA766C" w:rsidR="00696E95" w:rsidRDefault="00696E95" w:rsidP="47E242AA">
            <w:pPr>
              <w:pStyle w:val="ListParagraph"/>
              <w:numPr>
                <w:ilvl w:val="0"/>
                <w:numId w:val="3"/>
              </w:numPr>
            </w:pPr>
            <w:r>
              <w:t>Amalgamate any remaining items together &amp; enter the total in the final entry line.</w:t>
            </w:r>
          </w:p>
          <w:p w14:paraId="2FDAE3AF" w14:textId="072DDBFD" w:rsidR="00696E95" w:rsidRDefault="00696E95" w:rsidP="47E242AA">
            <w:pPr>
              <w:pStyle w:val="ListParagraph"/>
              <w:numPr>
                <w:ilvl w:val="0"/>
                <w:numId w:val="3"/>
              </w:numPr>
            </w:pPr>
            <w:r>
              <w:t>Note that in all cases if there is a total box it must show the total of all the entry lines including the amalgamated line(s).</w:t>
            </w:r>
          </w:p>
          <w:p w14:paraId="7B5D7FEC" w14:textId="77777777" w:rsidR="00314854" w:rsidRDefault="00696E95" w:rsidP="47E242AA">
            <w:pPr>
              <w:pStyle w:val="ListParagraph"/>
              <w:numPr>
                <w:ilvl w:val="0"/>
                <w:numId w:val="3"/>
              </w:numPr>
            </w:pPr>
            <w:r>
              <w:t>Include an attachment with the return (or use additional space) to make a full return of those items amalgamated for convenience.</w:t>
            </w:r>
          </w:p>
        </w:tc>
        <w:tc>
          <w:tcPr>
            <w:tcW w:w="1117" w:type="dxa"/>
            <w:vAlign w:val="center"/>
          </w:tcPr>
          <w:p w14:paraId="4D016849" w14:textId="77777777" w:rsidR="00314854" w:rsidRDefault="00696E95" w:rsidP="004D0979">
            <w:pPr>
              <w:jc w:val="center"/>
            </w:pPr>
            <w:r>
              <w:t>-</w:t>
            </w:r>
          </w:p>
        </w:tc>
      </w:tr>
      <w:tr w:rsidR="00A27F66" w14:paraId="6F7B6A6E" w14:textId="77777777" w:rsidTr="00DA70C4">
        <w:trPr>
          <w:cantSplit/>
        </w:trPr>
        <w:tc>
          <w:tcPr>
            <w:tcW w:w="983" w:type="dxa"/>
            <w:vAlign w:val="center"/>
          </w:tcPr>
          <w:p w14:paraId="002723CE" w14:textId="6A913132" w:rsidR="00A27F66" w:rsidRPr="008428FD" w:rsidRDefault="00A27F66" w:rsidP="00A27F66">
            <w:pPr>
              <w:jc w:val="center"/>
            </w:pPr>
            <w:r w:rsidRPr="008428FD">
              <w:t>6</w:t>
            </w:r>
          </w:p>
        </w:tc>
        <w:tc>
          <w:tcPr>
            <w:tcW w:w="1427" w:type="dxa"/>
            <w:vAlign w:val="center"/>
          </w:tcPr>
          <w:p w14:paraId="789542DD" w14:textId="5F193EA1" w:rsidR="00A27F66" w:rsidRPr="008428FD" w:rsidRDefault="00A27F66" w:rsidP="00A27F66">
            <w:pPr>
              <w:jc w:val="center"/>
            </w:pPr>
            <w:r w:rsidRPr="008428FD">
              <w:t>Box 9.10 on SA900</w:t>
            </w:r>
          </w:p>
        </w:tc>
        <w:tc>
          <w:tcPr>
            <w:tcW w:w="5477" w:type="dxa"/>
            <w:vAlign w:val="center"/>
          </w:tcPr>
          <w:p w14:paraId="11331EDC" w14:textId="34D08744" w:rsidR="00A27F66" w:rsidRPr="008428FD" w:rsidRDefault="00A27F66" w:rsidP="00A27F66">
            <w:r w:rsidRPr="008428FD">
              <w:t xml:space="preserve">Where a Trust has a 7.5% tax deduction attached to UK dividends received from an Estate (before 6 April 2016 but not paid until after </w:t>
            </w:r>
            <w:r w:rsidRPr="00C776D5">
              <w:t xml:space="preserve">5 April </w:t>
            </w:r>
            <w:r w:rsidRPr="00984847">
              <w:rPr>
                <w:b/>
                <w:bCs/>
              </w:rPr>
              <w:t>202</w:t>
            </w:r>
            <w:r w:rsidR="00394C95" w:rsidRPr="00984847">
              <w:rPr>
                <w:b/>
                <w:bCs/>
              </w:rPr>
              <w:t>2</w:t>
            </w:r>
            <w:r w:rsidRPr="008428FD">
              <w:t>), and needs to pay a higher rate (</w:t>
            </w:r>
            <w:r w:rsidR="00984847" w:rsidRPr="008428FD">
              <w:t>e.g.,</w:t>
            </w:r>
            <w:r w:rsidRPr="008428FD">
              <w:t xml:space="preserve"> 38.1% or equivalent for the year) the credit will not be applied.</w:t>
            </w:r>
            <w:r w:rsidR="00AF188F">
              <w:t xml:space="preserve"> UK dividends will be taxed at 38.1% when entered at box 9.10 but there will be no credit.</w:t>
            </w:r>
          </w:p>
        </w:tc>
        <w:tc>
          <w:tcPr>
            <w:tcW w:w="5025" w:type="dxa"/>
            <w:vAlign w:val="center"/>
          </w:tcPr>
          <w:p w14:paraId="7133A879" w14:textId="03B4CE45" w:rsidR="00A27F66" w:rsidRPr="008428FD" w:rsidRDefault="00A27F66" w:rsidP="00A27F66">
            <w:r w:rsidRPr="008428FD">
              <w:t>Enter the UK dividends as foreign dividends in box 4.2 on the SA904, include the 7.5% dividend credit at box 4.2A and include an explanation in the ‘Additional information’ box 21.9</w:t>
            </w:r>
          </w:p>
        </w:tc>
        <w:tc>
          <w:tcPr>
            <w:tcW w:w="1117" w:type="dxa"/>
          </w:tcPr>
          <w:p w14:paraId="65D31FE4" w14:textId="77777777" w:rsidR="00A27F66" w:rsidRDefault="00A27F66" w:rsidP="00A27F66">
            <w:pPr>
              <w:jc w:val="center"/>
            </w:pPr>
          </w:p>
        </w:tc>
      </w:tr>
    </w:tbl>
    <w:p w14:paraId="4EAA3C1A" w14:textId="77777777" w:rsidR="00314854" w:rsidRDefault="00314854"/>
    <w:p w14:paraId="73D08BF5" w14:textId="2E4F16F1" w:rsidR="00696E95" w:rsidRDefault="00696E95">
      <w:pPr>
        <w:suppressAutoHyphens w:val="0"/>
        <w:rPr>
          <w:rStyle w:val="normaltextrun"/>
          <w:rFonts w:cs="Arial"/>
          <w:b/>
          <w:bCs/>
          <w:color w:val="000000"/>
          <w:sz w:val="28"/>
          <w:szCs w:val="28"/>
          <w:shd w:val="clear" w:color="auto" w:fill="FFFFFF"/>
        </w:rPr>
      </w:pPr>
      <w:r>
        <w:br w:type="page"/>
      </w:r>
      <w:r w:rsidR="008E19A2">
        <w:rPr>
          <w:rStyle w:val="normaltextrun"/>
          <w:rFonts w:cs="Arial"/>
          <w:b/>
          <w:bCs/>
          <w:color w:val="000000"/>
          <w:sz w:val="28"/>
          <w:szCs w:val="28"/>
          <w:shd w:val="clear" w:color="auto" w:fill="FFFFFF"/>
        </w:rPr>
        <w:lastRenderedPageBreak/>
        <w:t xml:space="preserve">Category 2 – “Live” Specials: </w:t>
      </w:r>
      <w:r w:rsidR="00AF188F" w:rsidRPr="000D3B69">
        <w:rPr>
          <w:rStyle w:val="normaltextrun"/>
          <w:rFonts w:cs="Arial"/>
          <w:b/>
          <w:sz w:val="28"/>
          <w:szCs w:val="28"/>
          <w:shd w:val="clear" w:color="auto" w:fill="FFFFFF"/>
        </w:rPr>
        <w:t>1</w:t>
      </w:r>
      <w:r w:rsidR="008E19A2">
        <w:rPr>
          <w:rStyle w:val="normaltextrun"/>
          <w:rFonts w:cs="Arial"/>
          <w:b/>
          <w:bCs/>
          <w:color w:val="000000"/>
          <w:sz w:val="28"/>
          <w:szCs w:val="28"/>
          <w:shd w:val="clear" w:color="auto" w:fill="FFFFFF"/>
        </w:rPr>
        <w:br/>
      </w:r>
    </w:p>
    <w:p w14:paraId="44553D2F" w14:textId="151906CC" w:rsidR="008E19A2" w:rsidRDefault="008E19A2">
      <w:pPr>
        <w:suppressAutoHyphens w:val="0"/>
        <w:rPr>
          <w:rStyle w:val="normaltextrun"/>
          <w:rFonts w:cs="Arial"/>
          <w:b/>
          <w:bCs/>
          <w:color w:val="000000"/>
          <w:sz w:val="28"/>
          <w:szCs w:val="28"/>
          <w:shd w:val="clear" w:color="auto" w:fill="FFFFFF"/>
        </w:rPr>
      </w:pPr>
    </w:p>
    <w:tbl>
      <w:tblPr>
        <w:tblStyle w:val="GridTable1Light"/>
        <w:tblW w:w="14029" w:type="dxa"/>
        <w:tblLook w:val="0020" w:firstRow="1" w:lastRow="0" w:firstColumn="0" w:lastColumn="0" w:noHBand="0" w:noVBand="0"/>
      </w:tblPr>
      <w:tblGrid>
        <w:gridCol w:w="983"/>
        <w:gridCol w:w="1427"/>
        <w:gridCol w:w="5478"/>
        <w:gridCol w:w="5252"/>
        <w:gridCol w:w="889"/>
      </w:tblGrid>
      <w:tr w:rsidR="008E19A2" w14:paraId="75065AD8" w14:textId="77777777" w:rsidTr="47E242AA">
        <w:trPr>
          <w:cnfStyle w:val="100000000000" w:firstRow="1" w:lastRow="0" w:firstColumn="0" w:lastColumn="0" w:oddVBand="0" w:evenVBand="0" w:oddHBand="0" w:evenHBand="0" w:firstRowFirstColumn="0" w:firstRowLastColumn="0" w:lastRowFirstColumn="0" w:lastRowLastColumn="0"/>
          <w:cantSplit/>
        </w:trPr>
        <w:tc>
          <w:tcPr>
            <w:tcW w:w="983" w:type="dxa"/>
            <w:vAlign w:val="center"/>
          </w:tcPr>
          <w:p w14:paraId="6D3AEFFC" w14:textId="77777777" w:rsidR="008E19A2" w:rsidRDefault="008E19A2" w:rsidP="004D0979">
            <w:pPr>
              <w:jc w:val="center"/>
              <w:rPr>
                <w:b w:val="0"/>
                <w:bCs w:val="0"/>
              </w:rPr>
            </w:pPr>
            <w:r>
              <w:rPr>
                <w:b w:val="0"/>
                <w:bCs w:val="0"/>
              </w:rPr>
              <w:t>5</w:t>
            </w:r>
          </w:p>
        </w:tc>
        <w:tc>
          <w:tcPr>
            <w:tcW w:w="1427" w:type="dxa"/>
            <w:vAlign w:val="center"/>
          </w:tcPr>
          <w:p w14:paraId="09158E10" w14:textId="1871A448" w:rsidR="008E19A2" w:rsidRDefault="008E19A2" w:rsidP="004D0979">
            <w:pPr>
              <w:jc w:val="center"/>
              <w:rPr>
                <w:b w:val="0"/>
                <w:bCs w:val="0"/>
              </w:rPr>
            </w:pPr>
            <w:r>
              <w:rPr>
                <w:b w:val="0"/>
                <w:bCs w:val="0"/>
              </w:rPr>
              <w:t xml:space="preserve">Box 4.4 </w:t>
            </w:r>
            <w:r w:rsidR="5F6B29A7">
              <w:rPr>
                <w:b w:val="0"/>
                <w:bCs w:val="0"/>
              </w:rPr>
              <w:t xml:space="preserve">on </w:t>
            </w:r>
            <w:r w:rsidR="00984847">
              <w:rPr>
                <w:b w:val="0"/>
                <w:bCs w:val="0"/>
              </w:rPr>
              <w:t>page SA</w:t>
            </w:r>
            <w:r>
              <w:rPr>
                <w:b w:val="0"/>
                <w:bCs w:val="0"/>
              </w:rPr>
              <w:t>904</w:t>
            </w:r>
          </w:p>
        </w:tc>
        <w:tc>
          <w:tcPr>
            <w:tcW w:w="5478" w:type="dxa"/>
            <w:vAlign w:val="center"/>
          </w:tcPr>
          <w:p w14:paraId="1AF7A480" w14:textId="653566BE" w:rsidR="008E19A2" w:rsidRDefault="008E19A2" w:rsidP="47E242AA">
            <w:pPr>
              <w:rPr>
                <w:b w:val="0"/>
                <w:bCs w:val="0"/>
              </w:rPr>
            </w:pPr>
            <w:r>
              <w:rPr>
                <w:b w:val="0"/>
                <w:bCs w:val="0"/>
              </w:rPr>
              <w:t xml:space="preserve">Any sum entered in box 4.4 of the </w:t>
            </w:r>
            <w:r w:rsidR="00984847">
              <w:rPr>
                <w:b w:val="0"/>
                <w:bCs w:val="0"/>
              </w:rPr>
              <w:t>foreign</w:t>
            </w:r>
            <w:r>
              <w:rPr>
                <w:b w:val="0"/>
                <w:bCs w:val="0"/>
              </w:rPr>
              <w:t xml:space="preserve"> pages (SA904) that is attributable to foreign chargeable premiums should be taxed at the special trust rates. If the tax return relates to a trustee who is not taxable at the RAT or dividend trust rate, the tax calculation will not charge sufficient tax on the foreign chargeable element.</w:t>
            </w:r>
          </w:p>
        </w:tc>
        <w:tc>
          <w:tcPr>
            <w:tcW w:w="5252" w:type="dxa"/>
            <w:vAlign w:val="center"/>
          </w:tcPr>
          <w:p w14:paraId="296E8E2E" w14:textId="77777777" w:rsidR="008E19A2" w:rsidRDefault="008E19A2" w:rsidP="47E242AA">
            <w:pPr>
              <w:rPr>
                <w:b w:val="0"/>
                <w:bCs w:val="0"/>
              </w:rPr>
            </w:pPr>
            <w:r>
              <w:rPr>
                <w:b w:val="0"/>
                <w:bCs w:val="0"/>
              </w:rPr>
              <w:t>Enter the additional tax due on the foreign element in box 17.2 of the SA900 and include an explanation in the 'Additional information' box 21.9</w:t>
            </w:r>
          </w:p>
        </w:tc>
        <w:tc>
          <w:tcPr>
            <w:tcW w:w="889" w:type="dxa"/>
          </w:tcPr>
          <w:p w14:paraId="11513FB9" w14:textId="77777777" w:rsidR="008E19A2" w:rsidRDefault="008E19A2" w:rsidP="00D61B99">
            <w:r>
              <w:t>-</w:t>
            </w:r>
          </w:p>
        </w:tc>
      </w:tr>
    </w:tbl>
    <w:p w14:paraId="7C2687F6" w14:textId="77777777" w:rsidR="008E19A2" w:rsidRDefault="008E19A2">
      <w:pPr>
        <w:suppressAutoHyphens w:val="0"/>
        <w:rPr>
          <w:rStyle w:val="normaltextrun"/>
          <w:rFonts w:cs="Arial"/>
          <w:b/>
          <w:bCs/>
          <w:color w:val="000000"/>
          <w:sz w:val="28"/>
          <w:szCs w:val="28"/>
          <w:shd w:val="clear" w:color="auto" w:fill="FFFFFF"/>
        </w:rPr>
      </w:pPr>
    </w:p>
    <w:p w14:paraId="7FC717B0" w14:textId="77777777" w:rsidR="008E19A2" w:rsidRDefault="008E19A2">
      <w:pPr>
        <w:suppressAutoHyphens w:val="0"/>
        <w:rPr>
          <w:rFonts w:eastAsia="Times New Roman"/>
          <w:sz w:val="26"/>
          <w:szCs w:val="26"/>
        </w:rPr>
      </w:pPr>
    </w:p>
    <w:p w14:paraId="22962008" w14:textId="77777777" w:rsidR="00314854" w:rsidRPr="008E19A2" w:rsidRDefault="00696E95">
      <w:pPr>
        <w:pStyle w:val="Heading2"/>
        <w:rPr>
          <w:b/>
        </w:rPr>
      </w:pPr>
      <w:r w:rsidRPr="008E19A2">
        <w:rPr>
          <w:b/>
        </w:rPr>
        <w:t>Exclusions</w:t>
      </w:r>
    </w:p>
    <w:p w14:paraId="74578747" w14:textId="77777777" w:rsidR="00314854" w:rsidRDefault="00314854"/>
    <w:p w14:paraId="5CEDADB8" w14:textId="77777777" w:rsidR="00314854" w:rsidRDefault="00696E95">
      <w:r>
        <w:t>Cases Excluded from Internet filing</w:t>
      </w:r>
    </w:p>
    <w:p w14:paraId="252E60A9" w14:textId="77777777" w:rsidR="00314854" w:rsidRDefault="00696E95">
      <w:pPr>
        <w:pStyle w:val="ListParagraph"/>
        <w:numPr>
          <w:ilvl w:val="0"/>
          <w:numId w:val="2"/>
        </w:numPr>
      </w:pPr>
      <w:r>
        <w:t>Where a partnership return cannot be filed online for a reason listed below, provided that a paper return is delivered on or before 31st January following the end of the tax year to which the return relates, HMRC will accept that the taxpayer had a reasonable excuse for failing to file a paper return by the normal 31st October deadline.  A reasonable excuse claim should accompany the paper return</w:t>
      </w:r>
    </w:p>
    <w:p w14:paraId="7F3EEDAF" w14:textId="134457B0" w:rsidR="00314854" w:rsidRDefault="00696E95">
      <w:pPr>
        <w:pStyle w:val="ListParagraph"/>
        <w:numPr>
          <w:ilvl w:val="0"/>
          <w:numId w:val="2"/>
        </w:numPr>
      </w:pPr>
      <w:r>
        <w:t xml:space="preserve">Any paper return submitted must conform to the normal rules for paper returns even if it is a </w:t>
      </w:r>
      <w:r w:rsidR="56F5C4A4">
        <w:t>computer-generated</w:t>
      </w:r>
      <w:r>
        <w:t xml:space="preserve"> paper return </w:t>
      </w:r>
      <w:r w:rsidR="0C53789B">
        <w:t>e.g.,</w:t>
      </w:r>
      <w:r>
        <w:t xml:space="preserve"> it must hold a valid signature.</w:t>
      </w:r>
    </w:p>
    <w:p w14:paraId="2C315EEB" w14:textId="621BC5E5" w:rsidR="00314854" w:rsidRDefault="00696E95">
      <w:pPr>
        <w:pStyle w:val="ListParagraph"/>
        <w:numPr>
          <w:ilvl w:val="0"/>
          <w:numId w:val="2"/>
        </w:numPr>
      </w:pPr>
      <w:r>
        <w:t>Where an HMRC recommended workaround causes an online return to be submitted with an entry that is not strictly correct, HMRC will not take action on that particular entry for that reason alone provided that the inaccuracy is in accordance with the workaround and purely to facilitate online filing.</w:t>
      </w:r>
    </w:p>
    <w:p w14:paraId="5E83BC2E" w14:textId="2808F12A" w:rsidR="008E19A2" w:rsidRPr="008E19A2" w:rsidRDefault="008E19A2" w:rsidP="7F6BFC6E">
      <w:pPr>
        <w:pStyle w:val="ListParagraph"/>
        <w:numPr>
          <w:ilvl w:val="0"/>
          <w:numId w:val="2"/>
        </w:numPr>
        <w:rPr>
          <w:rStyle w:val="eop"/>
        </w:rPr>
      </w:pPr>
      <w:r w:rsidRPr="7F6BFC6E">
        <w:rPr>
          <w:rStyle w:val="normaltextrun"/>
          <w:rFonts w:cs="Arial"/>
          <w:color w:val="000000"/>
          <w:shd w:val="clear" w:color="auto" w:fill="FFFFFF"/>
        </w:rPr>
        <w:t>Exclusions have been separated into two categories. The above points apply equally for both categories. Category 1 lists the System related Exclusions that have been in place for several tax years and will require significant system and CESA alterations to be removed. Category 2 lists the "live" Exclusions that are active during the relevant tax year but are reviewed by HMRC and a future fix is being considered.</w:t>
      </w:r>
      <w:r w:rsidRPr="7F6BFC6E">
        <w:rPr>
          <w:rStyle w:val="eop"/>
          <w:rFonts w:cs="Arial"/>
          <w:color w:val="000000"/>
          <w:shd w:val="clear" w:color="auto" w:fill="FFFFFF"/>
        </w:rPr>
        <w:t> </w:t>
      </w:r>
    </w:p>
    <w:p w14:paraId="7A18A030" w14:textId="3A2F2F24" w:rsidR="008E19A2" w:rsidRDefault="008E19A2" w:rsidP="008E19A2"/>
    <w:p w14:paraId="3F3052BE" w14:textId="717622C2" w:rsidR="008E19A2" w:rsidRDefault="008E19A2" w:rsidP="008E19A2">
      <w:r>
        <w:rPr>
          <w:rStyle w:val="normaltextrun"/>
          <w:rFonts w:cs="Arial"/>
          <w:b/>
          <w:bCs/>
          <w:color w:val="000000"/>
          <w:sz w:val="28"/>
          <w:szCs w:val="28"/>
          <w:shd w:val="clear" w:color="auto" w:fill="FFFFFF"/>
        </w:rPr>
        <w:t xml:space="preserve">Category 1 - System Related Exclusions: </w:t>
      </w:r>
      <w:r w:rsidRPr="00C96E8C">
        <w:rPr>
          <w:rStyle w:val="normaltextrun"/>
          <w:rFonts w:cs="Arial"/>
          <w:bCs/>
          <w:color w:val="000000"/>
          <w:sz w:val="28"/>
          <w:szCs w:val="28"/>
          <w:shd w:val="clear" w:color="auto" w:fill="FFFFFF"/>
        </w:rPr>
        <w:t>3</w:t>
      </w:r>
    </w:p>
    <w:p w14:paraId="119AEA30" w14:textId="77777777" w:rsidR="008E19A2" w:rsidRDefault="008E19A2" w:rsidP="008E19A2"/>
    <w:tbl>
      <w:tblPr>
        <w:tblStyle w:val="GridTable1Light"/>
        <w:tblW w:w="13887" w:type="dxa"/>
        <w:tblLayout w:type="fixed"/>
        <w:tblLook w:val="0020" w:firstRow="1" w:lastRow="0" w:firstColumn="0" w:lastColumn="0" w:noHBand="0" w:noVBand="0"/>
      </w:tblPr>
      <w:tblGrid>
        <w:gridCol w:w="980"/>
        <w:gridCol w:w="1992"/>
        <w:gridCol w:w="6237"/>
        <w:gridCol w:w="3260"/>
        <w:gridCol w:w="1418"/>
      </w:tblGrid>
      <w:tr w:rsidR="00696E95" w14:paraId="50D0A99B" w14:textId="77777777" w:rsidTr="47E242AA">
        <w:trPr>
          <w:cnfStyle w:val="100000000000" w:firstRow="1" w:lastRow="0" w:firstColumn="0" w:lastColumn="0" w:oddVBand="0" w:evenVBand="0" w:oddHBand="0" w:evenHBand="0" w:firstRowFirstColumn="0" w:firstRowLastColumn="0" w:lastRowFirstColumn="0" w:lastRowLastColumn="0"/>
          <w:tblHeader/>
        </w:trPr>
        <w:tc>
          <w:tcPr>
            <w:tcW w:w="980" w:type="dxa"/>
          </w:tcPr>
          <w:p w14:paraId="7D131916" w14:textId="77777777" w:rsidR="00696E95" w:rsidRDefault="00696E95" w:rsidP="00696E95">
            <w:pPr>
              <w:rPr>
                <w:b w:val="0"/>
                <w:bCs w:val="0"/>
              </w:rPr>
            </w:pPr>
            <w:r>
              <w:t>Unique ID</w:t>
            </w:r>
          </w:p>
        </w:tc>
        <w:tc>
          <w:tcPr>
            <w:tcW w:w="1992" w:type="dxa"/>
          </w:tcPr>
          <w:p w14:paraId="60B65847" w14:textId="77777777" w:rsidR="00696E95" w:rsidRDefault="00696E95" w:rsidP="00696E95">
            <w:pPr>
              <w:rPr>
                <w:b w:val="0"/>
                <w:bCs w:val="0"/>
              </w:rPr>
            </w:pPr>
            <w:r>
              <w:t>Box number</w:t>
            </w:r>
          </w:p>
        </w:tc>
        <w:tc>
          <w:tcPr>
            <w:tcW w:w="6237" w:type="dxa"/>
          </w:tcPr>
          <w:p w14:paraId="4E657C3A" w14:textId="77777777" w:rsidR="00696E95" w:rsidRDefault="00696E95" w:rsidP="00696E95">
            <w:pPr>
              <w:rPr>
                <w:b w:val="0"/>
                <w:bCs w:val="0"/>
              </w:rPr>
            </w:pPr>
            <w:r>
              <w:t>Issue</w:t>
            </w:r>
          </w:p>
        </w:tc>
        <w:tc>
          <w:tcPr>
            <w:tcW w:w="3260" w:type="dxa"/>
          </w:tcPr>
          <w:p w14:paraId="265B8E25" w14:textId="77777777" w:rsidR="00696E95" w:rsidRDefault="00696E95" w:rsidP="00696E95">
            <w:pPr>
              <w:rPr>
                <w:b w:val="0"/>
                <w:bCs w:val="0"/>
              </w:rPr>
            </w:pPr>
            <w:r>
              <w:t>Workaround</w:t>
            </w:r>
          </w:p>
        </w:tc>
        <w:tc>
          <w:tcPr>
            <w:tcW w:w="1418" w:type="dxa"/>
          </w:tcPr>
          <w:p w14:paraId="2168E973" w14:textId="77777777" w:rsidR="00696E95" w:rsidRDefault="00696E95" w:rsidP="00696E95">
            <w:pPr>
              <w:rPr>
                <w:b w:val="0"/>
                <w:bCs w:val="0"/>
              </w:rPr>
            </w:pPr>
            <w:r>
              <w:t>Status</w:t>
            </w:r>
          </w:p>
        </w:tc>
      </w:tr>
      <w:tr w:rsidR="00696E95" w14:paraId="5EC10ADD" w14:textId="77777777" w:rsidTr="47E242AA">
        <w:trPr>
          <w:cantSplit/>
        </w:trPr>
        <w:tc>
          <w:tcPr>
            <w:tcW w:w="980" w:type="dxa"/>
            <w:vAlign w:val="center"/>
          </w:tcPr>
          <w:p w14:paraId="70078E6D" w14:textId="77777777" w:rsidR="00696E95" w:rsidRDefault="00696E95" w:rsidP="004D0979">
            <w:pPr>
              <w:jc w:val="center"/>
            </w:pPr>
            <w:r>
              <w:rPr>
                <w:w w:val="99"/>
              </w:rPr>
              <w:t>1</w:t>
            </w:r>
          </w:p>
        </w:tc>
        <w:tc>
          <w:tcPr>
            <w:tcW w:w="1992" w:type="dxa"/>
            <w:vAlign w:val="center"/>
          </w:tcPr>
          <w:p w14:paraId="6CEFD3BF" w14:textId="77777777" w:rsidR="00696E95" w:rsidRDefault="00696E95" w:rsidP="004D0979">
            <w:pPr>
              <w:jc w:val="center"/>
            </w:pPr>
            <w:r>
              <w:t>Early submission</w:t>
            </w:r>
          </w:p>
          <w:p w14:paraId="479B32CF" w14:textId="77777777" w:rsidR="00696E95" w:rsidRDefault="00696E95" w:rsidP="004D0979">
            <w:pPr>
              <w:jc w:val="center"/>
            </w:pPr>
            <w:r>
              <w:t>of Return</w:t>
            </w:r>
          </w:p>
        </w:tc>
        <w:tc>
          <w:tcPr>
            <w:tcW w:w="6237" w:type="dxa"/>
            <w:vAlign w:val="center"/>
          </w:tcPr>
          <w:p w14:paraId="27F902BF" w14:textId="31DBA918" w:rsidR="00696E95" w:rsidRDefault="00696E95" w:rsidP="47E242AA">
            <w:r>
              <w:t>Where it is considered necessary to file a return before the end of the tax year (</w:t>
            </w:r>
            <w:r w:rsidR="2D853824">
              <w:t>e.g.,</w:t>
            </w:r>
            <w:r>
              <w:t xml:space="preserve"> before </w:t>
            </w:r>
            <w:r w:rsidRPr="00C776D5">
              <w:t xml:space="preserve">6 April </w:t>
            </w:r>
            <w:r w:rsidRPr="00984847">
              <w:rPr>
                <w:b/>
                <w:bCs/>
              </w:rPr>
              <w:t>202</w:t>
            </w:r>
            <w:r w:rsidR="00564176" w:rsidRPr="00984847">
              <w:rPr>
                <w:b/>
                <w:bCs/>
              </w:rPr>
              <w:t>4</w:t>
            </w:r>
            <w:r w:rsidRPr="007F5F71">
              <w:rPr>
                <w:color w:val="FF0000"/>
              </w:rPr>
              <w:t xml:space="preserve"> </w:t>
            </w:r>
            <w:r w:rsidRPr="00C776D5">
              <w:t xml:space="preserve">for a </w:t>
            </w:r>
            <w:r w:rsidRPr="00984847">
              <w:rPr>
                <w:b/>
                <w:bCs/>
              </w:rPr>
              <w:t>20</w:t>
            </w:r>
            <w:r w:rsidR="008428FD" w:rsidRPr="00984847">
              <w:rPr>
                <w:b/>
                <w:bCs/>
              </w:rPr>
              <w:t>2</w:t>
            </w:r>
            <w:r w:rsidR="00564176" w:rsidRPr="00984847">
              <w:rPr>
                <w:b/>
                <w:bCs/>
              </w:rPr>
              <w:t>3-24</w:t>
            </w:r>
          </w:p>
          <w:p w14:paraId="16EB212C" w14:textId="77777777" w:rsidR="00696E95" w:rsidRDefault="00696E95" w:rsidP="47E242AA">
            <w:r>
              <w:t>return).</w:t>
            </w:r>
          </w:p>
        </w:tc>
        <w:tc>
          <w:tcPr>
            <w:tcW w:w="3260" w:type="dxa"/>
            <w:vAlign w:val="center"/>
          </w:tcPr>
          <w:p w14:paraId="556448E9" w14:textId="77777777" w:rsidR="00696E95" w:rsidRDefault="00696E95" w:rsidP="47E242AA">
            <w:r>
              <w:t>For information</w:t>
            </w:r>
          </w:p>
        </w:tc>
        <w:tc>
          <w:tcPr>
            <w:tcW w:w="1418" w:type="dxa"/>
            <w:vAlign w:val="center"/>
          </w:tcPr>
          <w:p w14:paraId="034DE7C4" w14:textId="77777777" w:rsidR="00696E95" w:rsidRDefault="00696E95" w:rsidP="004D0979">
            <w:pPr>
              <w:jc w:val="center"/>
            </w:pPr>
            <w:r>
              <w:rPr>
                <w:w w:val="99"/>
              </w:rPr>
              <w:t>-</w:t>
            </w:r>
          </w:p>
        </w:tc>
      </w:tr>
      <w:tr w:rsidR="00696E95" w14:paraId="2D03A135" w14:textId="77777777" w:rsidTr="47E242AA">
        <w:trPr>
          <w:cantSplit/>
        </w:trPr>
        <w:tc>
          <w:tcPr>
            <w:tcW w:w="980" w:type="dxa"/>
            <w:vAlign w:val="center"/>
          </w:tcPr>
          <w:p w14:paraId="2ECAB720" w14:textId="0703EF75" w:rsidR="00696E95" w:rsidRDefault="002656E8" w:rsidP="004D0979">
            <w:pPr>
              <w:jc w:val="center"/>
            </w:pPr>
            <w:r>
              <w:rPr>
                <w:w w:val="99"/>
              </w:rPr>
              <w:t>2</w:t>
            </w:r>
          </w:p>
        </w:tc>
        <w:tc>
          <w:tcPr>
            <w:tcW w:w="1992" w:type="dxa"/>
            <w:vAlign w:val="center"/>
          </w:tcPr>
          <w:p w14:paraId="31E01440" w14:textId="2B17D814" w:rsidR="00696E95" w:rsidRDefault="002656E8" w:rsidP="004D0979">
            <w:pPr>
              <w:jc w:val="center"/>
            </w:pPr>
            <w:r>
              <w:t>Online Amendment window</w:t>
            </w:r>
          </w:p>
        </w:tc>
        <w:tc>
          <w:tcPr>
            <w:tcW w:w="6237" w:type="dxa"/>
            <w:vAlign w:val="center"/>
          </w:tcPr>
          <w:p w14:paraId="7C75BBFB" w14:textId="223D9D9A" w:rsidR="00696E95" w:rsidRDefault="65C386F1" w:rsidP="47E242AA">
            <w:r>
              <w:t xml:space="preserve">Return amendments can be submitted up to 12 months after the statutory filing date. Where a return has been issued late and legitimately filed after 31st January the customer should have a further </w:t>
            </w:r>
            <w:r w:rsidR="64DE0991">
              <w:t>12-month</w:t>
            </w:r>
            <w:r>
              <w:t xml:space="preserve"> period to submit an amendment. </w:t>
            </w:r>
            <w:r w:rsidR="55A5D8C2">
              <w:t>However,</w:t>
            </w:r>
            <w:r>
              <w:t xml:space="preserve"> the system only allows on-line amendments to be submitted within 12 months of the on-line filing date of 31st January - amendments received before midnight on 31st January will be accepted.</w:t>
            </w:r>
          </w:p>
        </w:tc>
        <w:tc>
          <w:tcPr>
            <w:tcW w:w="3260" w:type="dxa"/>
            <w:vAlign w:val="center"/>
          </w:tcPr>
          <w:p w14:paraId="2568C506" w14:textId="593B1404" w:rsidR="00696E95" w:rsidRDefault="65C386F1" w:rsidP="47E242AA">
            <w:r>
              <w:t>Amendments made more than 12 months after the on-line filing date should be submitted on paper.</w:t>
            </w:r>
          </w:p>
        </w:tc>
        <w:tc>
          <w:tcPr>
            <w:tcW w:w="1418" w:type="dxa"/>
            <w:vAlign w:val="center"/>
          </w:tcPr>
          <w:p w14:paraId="3F5B4F72" w14:textId="77777777" w:rsidR="00696E95" w:rsidRDefault="00696E95" w:rsidP="004D0979">
            <w:pPr>
              <w:jc w:val="center"/>
            </w:pPr>
            <w:r>
              <w:rPr>
                <w:w w:val="99"/>
              </w:rPr>
              <w:t>-</w:t>
            </w:r>
          </w:p>
        </w:tc>
      </w:tr>
      <w:tr w:rsidR="00696E95" w14:paraId="43EA80FB" w14:textId="77777777" w:rsidTr="47E242AA">
        <w:trPr>
          <w:cantSplit/>
        </w:trPr>
        <w:tc>
          <w:tcPr>
            <w:tcW w:w="980" w:type="dxa"/>
            <w:vAlign w:val="center"/>
          </w:tcPr>
          <w:p w14:paraId="7F4C2B18" w14:textId="073C2989" w:rsidR="00696E95" w:rsidRDefault="002656E8" w:rsidP="004D0979">
            <w:pPr>
              <w:jc w:val="center"/>
            </w:pPr>
            <w:r>
              <w:rPr>
                <w:w w:val="99"/>
              </w:rPr>
              <w:t>3</w:t>
            </w:r>
          </w:p>
        </w:tc>
        <w:tc>
          <w:tcPr>
            <w:tcW w:w="1992" w:type="dxa"/>
            <w:vAlign w:val="center"/>
          </w:tcPr>
          <w:p w14:paraId="580C795F" w14:textId="77777777" w:rsidR="002656E8" w:rsidRDefault="002656E8" w:rsidP="004D0979">
            <w:pPr>
              <w:jc w:val="center"/>
            </w:pPr>
            <w:r>
              <w:t>SA900 (page 2)</w:t>
            </w:r>
          </w:p>
          <w:p w14:paraId="719928A5" w14:textId="77777777" w:rsidR="002656E8" w:rsidRDefault="002656E8" w:rsidP="004D0979">
            <w:pPr>
              <w:jc w:val="center"/>
            </w:pPr>
            <w:r>
              <w:t>Income and Capital Gains</w:t>
            </w:r>
          </w:p>
          <w:p w14:paraId="2768CC1C" w14:textId="1BB93ACE" w:rsidR="00696E95" w:rsidRDefault="002656E8" w:rsidP="004D0979">
            <w:pPr>
              <w:jc w:val="center"/>
            </w:pPr>
            <w:r>
              <w:t>Step 1 cases with no tax liability</w:t>
            </w:r>
          </w:p>
        </w:tc>
        <w:tc>
          <w:tcPr>
            <w:tcW w:w="6237" w:type="dxa"/>
            <w:vAlign w:val="center"/>
          </w:tcPr>
          <w:p w14:paraId="07447051" w14:textId="50D571F6" w:rsidR="002656E8" w:rsidRPr="00C96E8C" w:rsidRDefault="5DE563EF" w:rsidP="47E242AA">
            <w:pPr>
              <w:suppressAutoHyphens w:val="0"/>
              <w:rPr>
                <w:rFonts w:cs="Arial"/>
                <w:bCs/>
                <w:color w:val="000000"/>
              </w:rPr>
            </w:pPr>
            <w:r w:rsidRPr="00C96E8C">
              <w:rPr>
                <w:rFonts w:cs="Arial"/>
                <w:bCs/>
                <w:color w:val="000000" w:themeColor="text1"/>
              </w:rPr>
              <w:t xml:space="preserve">To file online </w:t>
            </w:r>
            <w:r w:rsidR="65C386F1" w:rsidRPr="00C96E8C">
              <w:rPr>
                <w:rFonts w:cs="Arial"/>
                <w:bCs/>
                <w:color w:val="000000" w:themeColor="text1"/>
              </w:rPr>
              <w:t>Trustees of bare or interest in possession trusts</w:t>
            </w:r>
            <w:r w:rsidRPr="00C96E8C">
              <w:rPr>
                <w:rFonts w:cs="Arial"/>
                <w:bCs/>
                <w:color w:val="000000" w:themeColor="text1"/>
              </w:rPr>
              <w:t xml:space="preserve"> and Personal representatives of deceased people</w:t>
            </w:r>
            <w:r w:rsidR="65C386F1" w:rsidRPr="00C96E8C">
              <w:rPr>
                <w:rFonts w:cs="Arial"/>
                <w:bCs/>
                <w:color w:val="000000" w:themeColor="text1"/>
              </w:rPr>
              <w:t xml:space="preserve"> that have no tax liability, and are not due a refund, will have to enter zero in box 17.1.</w:t>
            </w:r>
            <w:r w:rsidR="0063048B" w:rsidRPr="00C96E8C">
              <w:br/>
            </w:r>
            <w:r w:rsidR="0063048B" w:rsidRPr="00C96E8C">
              <w:br/>
            </w:r>
            <w:r w:rsidR="65C386F1" w:rsidRPr="00C96E8C">
              <w:rPr>
                <w:rFonts w:cs="Arial"/>
                <w:bCs/>
                <w:color w:val="000000" w:themeColor="text1"/>
              </w:rPr>
              <w:t>If the tax return software does not support the relevant entries in step 1 together with a zero entry in box 17.1 then the return will either have to be filed on paper or the adjacent workaround used.</w:t>
            </w:r>
          </w:p>
          <w:p w14:paraId="64F17EB5" w14:textId="128058AD" w:rsidR="00696E95" w:rsidRDefault="00696E95" w:rsidP="47E242AA"/>
        </w:tc>
        <w:tc>
          <w:tcPr>
            <w:tcW w:w="3260" w:type="dxa"/>
            <w:vAlign w:val="center"/>
          </w:tcPr>
          <w:p w14:paraId="725A0DFA" w14:textId="77777777" w:rsidR="002656E8" w:rsidRDefault="65C386F1" w:rsidP="47E242AA">
            <w:r>
              <w:t>1) Trustee of a bare trust</w:t>
            </w:r>
          </w:p>
          <w:p w14:paraId="03D7120E" w14:textId="77777777" w:rsidR="002656E8" w:rsidRDefault="65C386F1" w:rsidP="47E242AA">
            <w:r>
              <w:t>- tick box 8.15</w:t>
            </w:r>
          </w:p>
          <w:p w14:paraId="6CDC5BA8" w14:textId="77777777" w:rsidR="002656E8" w:rsidRDefault="65C386F1" w:rsidP="47E242AA">
            <w:r>
              <w:t>- tick Q17</w:t>
            </w:r>
          </w:p>
          <w:p w14:paraId="5CB51B30" w14:textId="77777777" w:rsidR="002656E8" w:rsidRDefault="65C386F1" w:rsidP="47E242AA">
            <w:r>
              <w:t>- insert '0' (zero) in Q17.1</w:t>
            </w:r>
          </w:p>
          <w:p w14:paraId="2AE0F4A7" w14:textId="77777777" w:rsidR="002656E8" w:rsidRDefault="65C386F1" w:rsidP="47E242AA">
            <w:r>
              <w:t>- in white space at box 21.9 add 'bare trust'</w:t>
            </w:r>
          </w:p>
          <w:p w14:paraId="131679F2" w14:textId="77777777" w:rsidR="002656E8" w:rsidRDefault="65C386F1" w:rsidP="47E242AA">
            <w:r>
              <w:t>2) Personal Representative of a deceased person for a period of administration</w:t>
            </w:r>
          </w:p>
          <w:p w14:paraId="6050F322" w14:textId="77777777" w:rsidR="002656E8" w:rsidRDefault="65C386F1" w:rsidP="47E242AA">
            <w:r>
              <w:t>- tick box 8.2</w:t>
            </w:r>
          </w:p>
          <w:p w14:paraId="1C8C3E5D" w14:textId="77777777" w:rsidR="002656E8" w:rsidRDefault="65C386F1" w:rsidP="47E242AA">
            <w:r>
              <w:t>- tick Q17</w:t>
            </w:r>
          </w:p>
          <w:p w14:paraId="4B41358C" w14:textId="77777777" w:rsidR="002656E8" w:rsidRDefault="65C386F1" w:rsidP="47E242AA">
            <w:r>
              <w:t>- insert '0' (zero) in Q17.1</w:t>
            </w:r>
          </w:p>
          <w:p w14:paraId="1FB02BCE" w14:textId="77777777" w:rsidR="002656E8" w:rsidRDefault="65C386F1" w:rsidP="47E242AA">
            <w:r>
              <w:t>3) Trustee of an interest in possession trust</w:t>
            </w:r>
          </w:p>
          <w:p w14:paraId="448D3F8C" w14:textId="77777777" w:rsidR="002656E8" w:rsidRDefault="65C386F1" w:rsidP="47E242AA">
            <w:r>
              <w:t>- tick box 8.15</w:t>
            </w:r>
          </w:p>
          <w:p w14:paraId="79CBC329" w14:textId="77777777" w:rsidR="002656E8" w:rsidRDefault="65C386F1" w:rsidP="47E242AA">
            <w:r>
              <w:t>- tick Q17</w:t>
            </w:r>
          </w:p>
          <w:p w14:paraId="776EA2CC" w14:textId="190AEBEA" w:rsidR="00696E95" w:rsidRDefault="65C386F1" w:rsidP="47E242AA">
            <w:r>
              <w:t>- insert '0' (zero) in Q17.1</w:t>
            </w:r>
          </w:p>
        </w:tc>
        <w:tc>
          <w:tcPr>
            <w:tcW w:w="1418" w:type="dxa"/>
            <w:vAlign w:val="center"/>
          </w:tcPr>
          <w:p w14:paraId="6A687201" w14:textId="2781C721" w:rsidR="00696E95" w:rsidRPr="008E19A2" w:rsidRDefault="00696E95" w:rsidP="004D0979">
            <w:pPr>
              <w:jc w:val="center"/>
              <w:rPr>
                <w:b/>
              </w:rPr>
            </w:pPr>
          </w:p>
        </w:tc>
      </w:tr>
    </w:tbl>
    <w:p w14:paraId="0166E0FF" w14:textId="77777777" w:rsidR="00696E95" w:rsidRDefault="00696E95" w:rsidP="00696E95">
      <w:pPr>
        <w:pStyle w:val="Heading1"/>
        <w:spacing w:after="21"/>
      </w:pPr>
    </w:p>
    <w:p w14:paraId="07F4D613" w14:textId="2BF2F7C6" w:rsidR="008E19A2" w:rsidRDefault="008E19A2" w:rsidP="00696E95">
      <w:pPr>
        <w:pStyle w:val="Heading1"/>
        <w:spacing w:after="21"/>
        <w:rPr>
          <w:rStyle w:val="normaltextrun"/>
          <w:rFonts w:cs="Arial"/>
          <w:b/>
          <w:bCs/>
          <w:color w:val="000000"/>
          <w:sz w:val="28"/>
          <w:szCs w:val="28"/>
          <w:bdr w:val="none" w:sz="0" w:space="0" w:color="auto" w:frame="1"/>
        </w:rPr>
      </w:pPr>
      <w:r>
        <w:rPr>
          <w:rStyle w:val="normaltextrun"/>
          <w:rFonts w:cs="Arial"/>
          <w:b/>
          <w:bCs/>
          <w:color w:val="000000"/>
          <w:sz w:val="28"/>
          <w:szCs w:val="28"/>
          <w:bdr w:val="none" w:sz="0" w:space="0" w:color="auto" w:frame="1"/>
        </w:rPr>
        <w:t xml:space="preserve">Category 2 – “Live” Exclusions: </w:t>
      </w:r>
      <w:r w:rsidR="00DA2C1E" w:rsidRPr="000D3B69">
        <w:rPr>
          <w:rStyle w:val="normaltextrun"/>
          <w:rFonts w:cs="Arial"/>
          <w:b/>
          <w:sz w:val="28"/>
          <w:szCs w:val="28"/>
          <w:bdr w:val="none" w:sz="0" w:space="0" w:color="auto" w:frame="1"/>
        </w:rPr>
        <w:t>0</w:t>
      </w:r>
    </w:p>
    <w:p w14:paraId="417D7E0A" w14:textId="06591A15" w:rsidR="008E19A2" w:rsidRDefault="008E19A2" w:rsidP="008E19A2"/>
    <w:p w14:paraId="234A3FF1" w14:textId="77777777" w:rsidR="008E19A2" w:rsidRPr="008E19A2" w:rsidRDefault="008E19A2" w:rsidP="008E19A2"/>
    <w:p w14:paraId="6CB17B27" w14:textId="77777777" w:rsidR="008E19A2" w:rsidRDefault="008E19A2" w:rsidP="00696E95">
      <w:pPr>
        <w:pStyle w:val="Heading1"/>
        <w:spacing w:after="21"/>
        <w:rPr>
          <w:rStyle w:val="normaltextrun"/>
          <w:rFonts w:cs="Arial"/>
          <w:b/>
          <w:bCs/>
          <w:color w:val="000000"/>
          <w:sz w:val="28"/>
          <w:szCs w:val="28"/>
          <w:bdr w:val="none" w:sz="0" w:space="0" w:color="auto" w:frame="1"/>
        </w:rPr>
      </w:pPr>
    </w:p>
    <w:p w14:paraId="369D814A" w14:textId="56C55DEF" w:rsidR="00696E95" w:rsidRDefault="00696E95" w:rsidP="00696E95">
      <w:pPr>
        <w:pStyle w:val="Heading1"/>
        <w:spacing w:after="21"/>
      </w:pPr>
      <w:r>
        <w:t>Changes</w:t>
      </w:r>
    </w:p>
    <w:tbl>
      <w:tblPr>
        <w:tblStyle w:val="GridTable1Light"/>
        <w:tblW w:w="13952" w:type="dxa"/>
        <w:tblLayout w:type="fixed"/>
        <w:tblLook w:val="0020" w:firstRow="1" w:lastRow="0" w:firstColumn="0" w:lastColumn="0" w:noHBand="0" w:noVBand="0"/>
      </w:tblPr>
      <w:tblGrid>
        <w:gridCol w:w="3609"/>
        <w:gridCol w:w="3304"/>
        <w:gridCol w:w="3516"/>
        <w:gridCol w:w="3523"/>
      </w:tblGrid>
      <w:tr w:rsidR="00696E95" w14:paraId="638F335B" w14:textId="77777777" w:rsidTr="13EA57EA">
        <w:trPr>
          <w:cnfStyle w:val="100000000000" w:firstRow="1" w:lastRow="0" w:firstColumn="0" w:lastColumn="0" w:oddVBand="0" w:evenVBand="0" w:oddHBand="0" w:evenHBand="0" w:firstRowFirstColumn="0" w:firstRowLastColumn="0" w:lastRowFirstColumn="0" w:lastRowLastColumn="0"/>
          <w:trHeight w:val="253"/>
        </w:trPr>
        <w:tc>
          <w:tcPr>
            <w:tcW w:w="3609" w:type="dxa"/>
          </w:tcPr>
          <w:p w14:paraId="5375C5EE" w14:textId="77777777" w:rsidR="00696E95" w:rsidRPr="00696E95" w:rsidRDefault="00696E95" w:rsidP="00BF1F2B">
            <w:pPr>
              <w:pStyle w:val="TableParagraph"/>
              <w:spacing w:line="233" w:lineRule="exact"/>
              <w:ind w:left="107"/>
            </w:pPr>
            <w:r w:rsidRPr="00696E95">
              <w:t>Document ID</w:t>
            </w:r>
          </w:p>
        </w:tc>
        <w:tc>
          <w:tcPr>
            <w:tcW w:w="3304" w:type="dxa"/>
          </w:tcPr>
          <w:p w14:paraId="68371154" w14:textId="77777777" w:rsidR="00696E95" w:rsidRPr="00696E95" w:rsidRDefault="00696E95" w:rsidP="00BF1F2B">
            <w:pPr>
              <w:pStyle w:val="TableParagraph"/>
              <w:spacing w:line="233" w:lineRule="exact"/>
              <w:ind w:left="107"/>
            </w:pPr>
            <w:r w:rsidRPr="00696E95">
              <w:t>Date</w:t>
            </w:r>
          </w:p>
        </w:tc>
        <w:tc>
          <w:tcPr>
            <w:tcW w:w="3516" w:type="dxa"/>
          </w:tcPr>
          <w:p w14:paraId="23A0A380" w14:textId="77777777" w:rsidR="00696E95" w:rsidRPr="00696E95" w:rsidRDefault="00696E95" w:rsidP="00BF1F2B">
            <w:pPr>
              <w:pStyle w:val="TableParagraph"/>
              <w:spacing w:line="233" w:lineRule="exact"/>
              <w:ind w:left="107"/>
            </w:pPr>
            <w:r w:rsidRPr="00696E95">
              <w:t>Unique ID</w:t>
            </w:r>
          </w:p>
        </w:tc>
        <w:tc>
          <w:tcPr>
            <w:tcW w:w="3523" w:type="dxa"/>
          </w:tcPr>
          <w:p w14:paraId="64AD3320" w14:textId="77777777" w:rsidR="00696E95" w:rsidRPr="00696E95" w:rsidRDefault="00696E95" w:rsidP="00BF1F2B">
            <w:pPr>
              <w:pStyle w:val="TableParagraph"/>
              <w:spacing w:line="233" w:lineRule="exact"/>
            </w:pPr>
            <w:r w:rsidRPr="00696E95">
              <w:t>Detail of change</w:t>
            </w:r>
          </w:p>
        </w:tc>
      </w:tr>
      <w:tr w:rsidR="007F5F71" w14:paraId="1BFE6997" w14:textId="77777777" w:rsidTr="13EA57EA">
        <w:trPr>
          <w:trHeight w:val="252"/>
        </w:trPr>
        <w:tc>
          <w:tcPr>
            <w:tcW w:w="3609" w:type="dxa"/>
          </w:tcPr>
          <w:p w14:paraId="36939E04" w14:textId="0D3085F7" w:rsidR="007F5F71" w:rsidRDefault="007F5F71" w:rsidP="007F5F71">
            <w:pPr>
              <w:pStyle w:val="TableParagraph"/>
              <w:spacing w:line="233" w:lineRule="exact"/>
              <w:ind w:left="107"/>
            </w:pPr>
            <w:r>
              <w:t>2022 – 23 v0.1</w:t>
            </w:r>
          </w:p>
        </w:tc>
        <w:tc>
          <w:tcPr>
            <w:tcW w:w="3304" w:type="dxa"/>
          </w:tcPr>
          <w:p w14:paraId="5821E1FC" w14:textId="18B75FAB" w:rsidR="007F5F71" w:rsidRDefault="007F5F71" w:rsidP="007F5F71">
            <w:pPr>
              <w:tabs>
                <w:tab w:val="center" w:pos="955"/>
              </w:tabs>
              <w:spacing w:line="259" w:lineRule="auto"/>
              <w:rPr>
                <w:rFonts w:eastAsia="Arial" w:cs="Arial"/>
                <w:color w:val="000000" w:themeColor="text1"/>
              </w:rPr>
            </w:pPr>
            <w:r>
              <w:rPr>
                <w:rFonts w:eastAsia="Arial" w:cs="Arial"/>
                <w:color w:val="000000" w:themeColor="text1"/>
              </w:rPr>
              <w:t>2</w:t>
            </w:r>
            <w:r w:rsidR="00984847">
              <w:rPr>
                <w:rFonts w:eastAsia="Arial" w:cs="Arial"/>
                <w:color w:val="000000" w:themeColor="text1"/>
              </w:rPr>
              <w:t>2</w:t>
            </w:r>
            <w:r>
              <w:rPr>
                <w:rFonts w:eastAsia="Arial" w:cs="Arial"/>
                <w:color w:val="000000" w:themeColor="text1"/>
              </w:rPr>
              <w:t xml:space="preserve"> February 2023</w:t>
            </w:r>
          </w:p>
        </w:tc>
        <w:tc>
          <w:tcPr>
            <w:tcW w:w="3516" w:type="dxa"/>
          </w:tcPr>
          <w:p w14:paraId="26E754EB" w14:textId="0EEF9BD4" w:rsidR="007F5F71" w:rsidRDefault="007F5F71" w:rsidP="007F5F71">
            <w:pPr>
              <w:pStyle w:val="TableParagraph"/>
              <w:spacing w:line="233" w:lineRule="exact"/>
              <w:ind w:left="107"/>
            </w:pPr>
            <w:r>
              <w:t>Exclusion ID</w:t>
            </w:r>
            <w:r w:rsidR="00192187">
              <w:t>1</w:t>
            </w:r>
          </w:p>
        </w:tc>
        <w:tc>
          <w:tcPr>
            <w:tcW w:w="3523" w:type="dxa"/>
          </w:tcPr>
          <w:p w14:paraId="13B18315" w14:textId="6E20AFBD" w:rsidR="007F5F71" w:rsidRDefault="007F5F71" w:rsidP="007F5F71">
            <w:pPr>
              <w:pStyle w:val="TableParagraph"/>
              <w:spacing w:line="233" w:lineRule="exact"/>
            </w:pPr>
            <w:r>
              <w:t>Year in Issue updated</w:t>
            </w:r>
          </w:p>
        </w:tc>
      </w:tr>
      <w:tr w:rsidR="007F5F71" w14:paraId="33B83176" w14:textId="77777777" w:rsidTr="13EA57EA">
        <w:trPr>
          <w:trHeight w:val="252"/>
        </w:trPr>
        <w:tc>
          <w:tcPr>
            <w:tcW w:w="3609" w:type="dxa"/>
          </w:tcPr>
          <w:p w14:paraId="01A891FB" w14:textId="22C09FCE" w:rsidR="007F5F71" w:rsidRDefault="007F5F71" w:rsidP="007F5F71">
            <w:pPr>
              <w:pStyle w:val="TableParagraph"/>
              <w:spacing w:line="233" w:lineRule="exact"/>
              <w:ind w:left="107"/>
            </w:pPr>
            <w:r>
              <w:t>2022 – 23 v0.1</w:t>
            </w:r>
          </w:p>
        </w:tc>
        <w:tc>
          <w:tcPr>
            <w:tcW w:w="3304" w:type="dxa"/>
          </w:tcPr>
          <w:p w14:paraId="3AF4F6C4" w14:textId="56B74CA0" w:rsidR="007F5F71" w:rsidRDefault="007F5F71" w:rsidP="007F5F71">
            <w:pPr>
              <w:tabs>
                <w:tab w:val="center" w:pos="955"/>
              </w:tabs>
              <w:spacing w:line="259" w:lineRule="auto"/>
              <w:rPr>
                <w:rFonts w:eastAsia="Arial" w:cs="Arial"/>
                <w:color w:val="000000" w:themeColor="text1"/>
              </w:rPr>
            </w:pPr>
            <w:r>
              <w:rPr>
                <w:rFonts w:eastAsia="Arial" w:cs="Arial"/>
                <w:color w:val="000000" w:themeColor="text1"/>
              </w:rPr>
              <w:t>2</w:t>
            </w:r>
            <w:r w:rsidR="00984847">
              <w:rPr>
                <w:rFonts w:eastAsia="Arial" w:cs="Arial"/>
                <w:color w:val="000000" w:themeColor="text1"/>
              </w:rPr>
              <w:t>2</w:t>
            </w:r>
            <w:r>
              <w:rPr>
                <w:rFonts w:eastAsia="Arial" w:cs="Arial"/>
                <w:color w:val="000000" w:themeColor="text1"/>
              </w:rPr>
              <w:t xml:space="preserve"> February 2023</w:t>
            </w:r>
          </w:p>
        </w:tc>
        <w:tc>
          <w:tcPr>
            <w:tcW w:w="3516" w:type="dxa"/>
          </w:tcPr>
          <w:p w14:paraId="62AB99F7" w14:textId="2C05AE6B" w:rsidR="007F5F71" w:rsidRDefault="007F5F71" w:rsidP="007F5F71">
            <w:pPr>
              <w:pStyle w:val="TableParagraph"/>
              <w:spacing w:line="233" w:lineRule="exact"/>
              <w:ind w:left="107"/>
            </w:pPr>
            <w:r>
              <w:t>Special ID6</w:t>
            </w:r>
          </w:p>
        </w:tc>
        <w:tc>
          <w:tcPr>
            <w:tcW w:w="3523" w:type="dxa"/>
          </w:tcPr>
          <w:p w14:paraId="6C3E7916" w14:textId="64FAF5BF" w:rsidR="007F5F71" w:rsidRDefault="007F5F71" w:rsidP="007F5F71">
            <w:pPr>
              <w:pStyle w:val="TableParagraph"/>
              <w:spacing w:line="233" w:lineRule="exact"/>
            </w:pPr>
            <w:r>
              <w:t>Year in Issue updated</w:t>
            </w:r>
          </w:p>
        </w:tc>
      </w:tr>
      <w:tr w:rsidR="007F5F71" w14:paraId="0EBC5BC8" w14:textId="77777777" w:rsidTr="13EA57EA">
        <w:trPr>
          <w:trHeight w:val="252"/>
        </w:trPr>
        <w:tc>
          <w:tcPr>
            <w:tcW w:w="3609" w:type="dxa"/>
          </w:tcPr>
          <w:p w14:paraId="5583B586" w14:textId="2633B5E9" w:rsidR="007F5F71" w:rsidRPr="00696E95" w:rsidRDefault="007F5F71" w:rsidP="007F5F71">
            <w:pPr>
              <w:pStyle w:val="TableParagraph"/>
              <w:spacing w:line="233" w:lineRule="exact"/>
              <w:ind w:left="107"/>
            </w:pPr>
            <w:r>
              <w:t>2022 – 23 v0.1</w:t>
            </w:r>
          </w:p>
        </w:tc>
        <w:tc>
          <w:tcPr>
            <w:tcW w:w="3304" w:type="dxa"/>
          </w:tcPr>
          <w:p w14:paraId="38D7BF41" w14:textId="0F5AC0D5" w:rsidR="007F5F71" w:rsidRDefault="007F5F71" w:rsidP="007F5F71">
            <w:pPr>
              <w:tabs>
                <w:tab w:val="center" w:pos="955"/>
              </w:tabs>
              <w:spacing w:line="259" w:lineRule="auto"/>
              <w:rPr>
                <w:rFonts w:eastAsia="Arial" w:cs="Arial"/>
                <w:color w:val="000000" w:themeColor="text1"/>
              </w:rPr>
            </w:pPr>
            <w:r>
              <w:rPr>
                <w:rFonts w:eastAsia="Arial" w:cs="Arial"/>
                <w:color w:val="000000" w:themeColor="text1"/>
              </w:rPr>
              <w:t>2</w:t>
            </w:r>
            <w:r w:rsidR="00984847">
              <w:rPr>
                <w:rFonts w:eastAsia="Arial" w:cs="Arial"/>
                <w:color w:val="000000" w:themeColor="text1"/>
              </w:rPr>
              <w:t>2</w:t>
            </w:r>
            <w:r>
              <w:rPr>
                <w:rFonts w:eastAsia="Arial" w:cs="Arial"/>
                <w:color w:val="000000" w:themeColor="text1"/>
              </w:rPr>
              <w:t xml:space="preserve"> February 2023</w:t>
            </w:r>
          </w:p>
        </w:tc>
        <w:tc>
          <w:tcPr>
            <w:tcW w:w="3516" w:type="dxa"/>
          </w:tcPr>
          <w:p w14:paraId="47D0F7D4" w14:textId="77777777" w:rsidR="007F5F71" w:rsidRDefault="007F5F71" w:rsidP="007F5F71">
            <w:pPr>
              <w:pStyle w:val="TableParagraph"/>
              <w:spacing w:line="233" w:lineRule="exact"/>
              <w:ind w:left="107"/>
            </w:pPr>
          </w:p>
        </w:tc>
        <w:tc>
          <w:tcPr>
            <w:tcW w:w="3523" w:type="dxa"/>
          </w:tcPr>
          <w:p w14:paraId="36C06A57" w14:textId="6FD5398E" w:rsidR="007F5F71" w:rsidRDefault="007F5F71" w:rsidP="007F5F71">
            <w:pPr>
              <w:pStyle w:val="TableParagraph"/>
              <w:spacing w:line="233" w:lineRule="exact"/>
            </w:pPr>
            <w:r>
              <w:t>Document created from 2021-22 v1.0</w:t>
            </w:r>
          </w:p>
        </w:tc>
      </w:tr>
    </w:tbl>
    <w:p w14:paraId="69E98067" w14:textId="77777777" w:rsidR="00696E95" w:rsidRDefault="00696E95" w:rsidP="00696E95"/>
    <w:sectPr w:rsidR="00696E9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3C7F" w14:textId="77777777" w:rsidR="009C3557" w:rsidRDefault="009C3557">
      <w:pPr>
        <w:spacing w:after="0" w:line="240" w:lineRule="auto"/>
      </w:pPr>
      <w:r>
        <w:separator/>
      </w:r>
    </w:p>
  </w:endnote>
  <w:endnote w:type="continuationSeparator" w:id="0">
    <w:p w14:paraId="6853FD47" w14:textId="77777777" w:rsidR="009C3557" w:rsidRDefault="009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7C10" w14:textId="77777777" w:rsidR="007362F6" w:rsidRDefault="00736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3CF7" w14:textId="4F590CC6" w:rsidR="008108BE" w:rsidRDefault="00696E95">
    <w:pPr>
      <w:pStyle w:val="Footer"/>
    </w:pPr>
    <w:r>
      <w:rPr>
        <w:noProof/>
      </w:rPr>
      <mc:AlternateContent>
        <mc:Choice Requires="wps">
          <w:drawing>
            <wp:anchor distT="0" distB="0" distL="114300" distR="114300" simplePos="0" relativeHeight="251659264" behindDoc="0" locked="0" layoutInCell="1" allowOverlap="1" wp14:anchorId="6FE20C5C" wp14:editId="4E0123C0">
              <wp:simplePos x="0" y="0"/>
              <wp:positionH relativeFrom="page">
                <wp:posOffset>0</wp:posOffset>
              </wp:positionH>
              <wp:positionV relativeFrom="page">
                <wp:posOffset>7096128</wp:posOffset>
              </wp:positionV>
              <wp:extent cx="10692134" cy="273048"/>
              <wp:effectExtent l="0" t="0" r="0" b="12702"/>
              <wp:wrapNone/>
              <wp:docPr id="1" name="MSIPCM5b7245ea9c224af86664b904" descr="{&quot;HashCode&quot;:-12648473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4" cy="273048"/>
                      </a:xfrm>
                      <a:prstGeom prst="rect">
                        <a:avLst/>
                      </a:prstGeom>
                      <a:noFill/>
                      <a:ln>
                        <a:noFill/>
                        <a:prstDash/>
                      </a:ln>
                    </wps:spPr>
                    <wps:txbx>
                      <w:txbxContent>
                        <w:p w14:paraId="387655F7" w14:textId="2C2C8E55" w:rsidR="008108BE" w:rsidRDefault="00E47884">
                          <w:pPr>
                            <w:spacing w:after="0"/>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6FE20C5C" id="_x0000_t202" coordsize="21600,21600" o:spt="202" path="m,l,21600r21600,l21600,xe">
              <v:stroke joinstyle="miter"/>
              <v:path gradientshapeok="t" o:connecttype="rect"/>
            </v:shapetype>
            <v:shape id="MSIPCM5b7245ea9c224af86664b904" o:spid="_x0000_s1026" type="#_x0000_t202" alt="{&quot;HashCode&quot;:-1264847310,&quot;Height&quot;:595.0,&quot;Width&quot;:841.0,&quot;Placement&quot;:&quot;Footer&quot;,&quot;Index&quot;:&quot;Primary&quot;,&quot;Section&quot;:1,&quot;Top&quot;:0.0,&quot;Left&quot;:0.0}"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" filled="f" stroked="f">
              <v:textbox inset=",0,,0">
                <w:txbxContent>
                  <w:p w14:paraId="387655F7" w14:textId="2C2C8E55" w:rsidR="008108BE" w:rsidRDefault="00E47884">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sidR="00984847">
      <w:t>v</w:t>
    </w:r>
    <w:r w:rsidR="00394C95">
      <w:t>0.1</w:t>
    </w:r>
    <w:r w:rsidR="00894700">
      <w:tab/>
    </w:r>
    <w:r w:rsidR="008F39F3">
      <w:tab/>
    </w:r>
    <w:r w:rsidR="00A27F66">
      <w:tab/>
    </w:r>
    <w:r w:rsidR="00A27F66">
      <w:tab/>
    </w:r>
    <w:r w:rsidR="00A27F66">
      <w:tab/>
    </w:r>
    <w:r w:rsidR="00A27F66">
      <w:tab/>
    </w:r>
    <w:r w:rsidR="00AF188F">
      <w:t>2</w:t>
    </w:r>
    <w:r w:rsidR="00BA6184">
      <w:t>8</w:t>
    </w:r>
    <w:r w:rsidR="00394C95">
      <w:t xml:space="preserve"> February 2023</w:t>
    </w:r>
    <w:r w:rsidR="762F815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AAA9" w14:textId="77777777" w:rsidR="007362F6" w:rsidRDefault="00736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934A" w14:textId="77777777" w:rsidR="009C3557" w:rsidRDefault="009C3557">
      <w:pPr>
        <w:spacing w:after="0" w:line="240" w:lineRule="auto"/>
      </w:pPr>
      <w:r>
        <w:rPr>
          <w:color w:val="000000"/>
        </w:rPr>
        <w:separator/>
      </w:r>
    </w:p>
  </w:footnote>
  <w:footnote w:type="continuationSeparator" w:id="0">
    <w:p w14:paraId="38B2F610" w14:textId="77777777" w:rsidR="009C3557" w:rsidRDefault="009C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4074" w14:textId="77777777" w:rsidR="007362F6" w:rsidRDefault="00736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0EDA" w14:textId="2FC8F34A" w:rsidR="008108BE" w:rsidRDefault="00696E95">
    <w:pPr>
      <w:pStyle w:val="Header"/>
    </w:pPr>
    <w:r>
      <w:rPr>
        <w:noProof/>
      </w:rPr>
      <w:drawing>
        <wp:anchor distT="0" distB="0" distL="0" distR="0" simplePos="0" relativeHeight="251661312" behindDoc="1" locked="0" layoutInCell="1" allowOverlap="1" wp14:anchorId="42285420" wp14:editId="203016A9">
          <wp:simplePos x="0" y="0"/>
          <wp:positionH relativeFrom="page">
            <wp:posOffset>381000</wp:posOffset>
          </wp:positionH>
          <wp:positionV relativeFrom="page">
            <wp:posOffset>296545</wp:posOffset>
          </wp:positionV>
          <wp:extent cx="1538826" cy="407030"/>
          <wp:effectExtent l="0" t="0" r="0" b="0"/>
          <wp:wrapNone/>
          <wp:docPr id="2" name="image1.jpeg" descr="HM Revenue &amp; Custo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38826" cy="407030"/>
                  </a:xfrm>
                  <a:prstGeom prst="rect">
                    <a:avLst/>
                  </a:prstGeom>
                </pic:spPr>
              </pic:pic>
            </a:graphicData>
          </a:graphic>
        </wp:anchor>
      </w:drawing>
    </w:r>
    <w:r w:rsidR="006D1A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EDD7" w14:textId="77777777" w:rsidR="007362F6" w:rsidRDefault="00736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4C49"/>
    <w:multiLevelType w:val="hybridMultilevel"/>
    <w:tmpl w:val="855A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A6715"/>
    <w:multiLevelType w:val="multilevel"/>
    <w:tmpl w:val="CB9EE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F7DF9"/>
    <w:multiLevelType w:val="multilevel"/>
    <w:tmpl w:val="2F56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54"/>
    <w:rsid w:val="00022901"/>
    <w:rsid w:val="000D3B69"/>
    <w:rsid w:val="00117B83"/>
    <w:rsid w:val="0017425E"/>
    <w:rsid w:val="00192187"/>
    <w:rsid w:val="002656E8"/>
    <w:rsid w:val="0027045D"/>
    <w:rsid w:val="00314854"/>
    <w:rsid w:val="0031754E"/>
    <w:rsid w:val="00363AC1"/>
    <w:rsid w:val="00394C95"/>
    <w:rsid w:val="003977A6"/>
    <w:rsid w:val="003E3300"/>
    <w:rsid w:val="00485E2C"/>
    <w:rsid w:val="004D0979"/>
    <w:rsid w:val="005070F7"/>
    <w:rsid w:val="00564176"/>
    <w:rsid w:val="0063048B"/>
    <w:rsid w:val="0064DC30"/>
    <w:rsid w:val="00656396"/>
    <w:rsid w:val="00696E95"/>
    <w:rsid w:val="006D1A0B"/>
    <w:rsid w:val="006E7CF1"/>
    <w:rsid w:val="007362C9"/>
    <w:rsid w:val="007362F6"/>
    <w:rsid w:val="00797B75"/>
    <w:rsid w:val="007F5F71"/>
    <w:rsid w:val="008428FD"/>
    <w:rsid w:val="00894700"/>
    <w:rsid w:val="008E19A2"/>
    <w:rsid w:val="008F39F3"/>
    <w:rsid w:val="00984847"/>
    <w:rsid w:val="009C3557"/>
    <w:rsid w:val="00A27F66"/>
    <w:rsid w:val="00AC1BF6"/>
    <w:rsid w:val="00AF188F"/>
    <w:rsid w:val="00AF5772"/>
    <w:rsid w:val="00B600E2"/>
    <w:rsid w:val="00BA6184"/>
    <w:rsid w:val="00BF3A54"/>
    <w:rsid w:val="00C776D5"/>
    <w:rsid w:val="00C96E8C"/>
    <w:rsid w:val="00CE14EC"/>
    <w:rsid w:val="00DA2C1E"/>
    <w:rsid w:val="00E007E7"/>
    <w:rsid w:val="00E47884"/>
    <w:rsid w:val="00F42EE0"/>
    <w:rsid w:val="00FB292A"/>
    <w:rsid w:val="019F6B2C"/>
    <w:rsid w:val="05593F17"/>
    <w:rsid w:val="085C2424"/>
    <w:rsid w:val="0C53789B"/>
    <w:rsid w:val="0D41CCF6"/>
    <w:rsid w:val="1078E6FB"/>
    <w:rsid w:val="10FE08A0"/>
    <w:rsid w:val="1189ABA1"/>
    <w:rsid w:val="136A4C81"/>
    <w:rsid w:val="13EA57EA"/>
    <w:rsid w:val="147D49D0"/>
    <w:rsid w:val="15217ECF"/>
    <w:rsid w:val="181395A3"/>
    <w:rsid w:val="1820524B"/>
    <w:rsid w:val="1CE706C6"/>
    <w:rsid w:val="1EA3EF92"/>
    <w:rsid w:val="20724268"/>
    <w:rsid w:val="24686C23"/>
    <w:rsid w:val="279AD45C"/>
    <w:rsid w:val="285E0884"/>
    <w:rsid w:val="2936A4BD"/>
    <w:rsid w:val="2D3179A7"/>
    <w:rsid w:val="2D853824"/>
    <w:rsid w:val="3C9F9003"/>
    <w:rsid w:val="3DF3A12A"/>
    <w:rsid w:val="40872BB9"/>
    <w:rsid w:val="409B9DAD"/>
    <w:rsid w:val="40BD4907"/>
    <w:rsid w:val="411196B5"/>
    <w:rsid w:val="42194CA5"/>
    <w:rsid w:val="44AAA1E8"/>
    <w:rsid w:val="44CE5BD1"/>
    <w:rsid w:val="46A85E51"/>
    <w:rsid w:val="47969022"/>
    <w:rsid w:val="47E242AA"/>
    <w:rsid w:val="48CCE7B9"/>
    <w:rsid w:val="515EF430"/>
    <w:rsid w:val="556EFEB7"/>
    <w:rsid w:val="55A5D8C2"/>
    <w:rsid w:val="569908FF"/>
    <w:rsid w:val="56F5C4A4"/>
    <w:rsid w:val="58F028F4"/>
    <w:rsid w:val="5BC517DE"/>
    <w:rsid w:val="5BEAF8F4"/>
    <w:rsid w:val="5DE563EF"/>
    <w:rsid w:val="5E566D21"/>
    <w:rsid w:val="5F42428E"/>
    <w:rsid w:val="5F6B29A7"/>
    <w:rsid w:val="64DE0991"/>
    <w:rsid w:val="656BFA24"/>
    <w:rsid w:val="65C386F1"/>
    <w:rsid w:val="664FE174"/>
    <w:rsid w:val="6707CA85"/>
    <w:rsid w:val="69E3CB80"/>
    <w:rsid w:val="6DB3D114"/>
    <w:rsid w:val="6DF93F32"/>
    <w:rsid w:val="72526AB2"/>
    <w:rsid w:val="762F815C"/>
    <w:rsid w:val="76FBEB0D"/>
    <w:rsid w:val="79F48BEF"/>
    <w:rsid w:val="7CF6823F"/>
    <w:rsid w:val="7F6BFC6E"/>
    <w:rsid w:val="7FC4B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A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Normal"/>
    <w:next w:val="Normal"/>
    <w:uiPriority w:val="9"/>
    <w:qFormat/>
    <w:pPr>
      <w:keepNext/>
      <w:keepLines/>
      <w:spacing w:before="240" w:after="0"/>
      <w:outlineLvl w:val="0"/>
    </w:pPr>
    <w:rPr>
      <w:rFonts w:eastAsia="Times New Roman"/>
      <w:sz w:val="32"/>
      <w:szCs w:val="32"/>
    </w:rPr>
  </w:style>
  <w:style w:type="paragraph" w:styleId="Heading2">
    <w:name w:val="heading 2"/>
    <w:basedOn w:val="Normal"/>
    <w:next w:val="Normal"/>
    <w:uiPriority w:val="9"/>
    <w:unhideWhenUsed/>
    <w:qFormat/>
    <w:pPr>
      <w:keepNext/>
      <w:keepLines/>
      <w:spacing w:before="40" w:after="0"/>
      <w:outlineLvl w:val="1"/>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Arial" w:eastAsia="Times New Roman" w:hAnsi="Arial" w:cs="Times New Roman"/>
      <w:sz w:val="32"/>
      <w:szCs w:val="32"/>
    </w:rPr>
  </w:style>
  <w:style w:type="character" w:customStyle="1" w:styleId="Heading2Char">
    <w:name w:val="Heading 2 Char"/>
    <w:basedOn w:val="DefaultParagraphFont"/>
    <w:rPr>
      <w:rFonts w:ascii="Arial" w:eastAsia="Times New Roman" w:hAnsi="Arial" w:cs="Times New Roman"/>
      <w:sz w:val="26"/>
      <w:szCs w:val="26"/>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rPr>
  </w:style>
  <w:style w:type="paragraph" w:customStyle="1" w:styleId="TableParagraph">
    <w:name w:val="Table Paragraph"/>
    <w:basedOn w:val="Normal"/>
    <w:uiPriority w:val="1"/>
    <w:qFormat/>
    <w:rsid w:val="00696E95"/>
    <w:pPr>
      <w:widowControl w:val="0"/>
      <w:suppressAutoHyphens w:val="0"/>
      <w:autoSpaceDE w:val="0"/>
      <w:spacing w:after="0" w:line="240" w:lineRule="auto"/>
      <w:ind w:left="105"/>
      <w:textAlignment w:val="auto"/>
    </w:pPr>
    <w:rPr>
      <w:rFonts w:eastAsia="Arial" w:cs="Arial"/>
      <w:lang w:eastAsia="en-GB" w:bidi="en-GB"/>
    </w:rPr>
  </w:style>
  <w:style w:type="table" w:styleId="GridTable1Light">
    <w:name w:val="Grid Table 1 Light"/>
    <w:basedOn w:val="TableNormal"/>
    <w:uiPriority w:val="46"/>
    <w:rsid w:val="00696E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8E19A2"/>
  </w:style>
  <w:style w:type="character" w:customStyle="1" w:styleId="eop">
    <w:name w:val="eop"/>
    <w:basedOn w:val="DefaultParagraphFont"/>
    <w:rsid w:val="008E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F647E3430474AB24325A355AC0598" ma:contentTypeVersion="16" ma:contentTypeDescription="Create a new document." ma:contentTypeScope="" ma:versionID="1178116f65d82f57b125708c2d776938">
  <xsd:schema xmlns:xsd="http://www.w3.org/2001/XMLSchema" xmlns:xs="http://www.w3.org/2001/XMLSchema" xmlns:p="http://schemas.microsoft.com/office/2006/metadata/properties" xmlns:ns2="3d815c6e-9807-4b67-b735-190d90443c26" xmlns:ns3="efaba243-fe8d-4ce4-9034-5364d5e55ba5" targetNamespace="http://schemas.microsoft.com/office/2006/metadata/properties" ma:root="true" ma:fieldsID="8c9e4b0decafe6a778cc7981f705331b" ns2:_="" ns3:_="">
    <xsd:import namespace="3d815c6e-9807-4b67-b735-190d90443c26"/>
    <xsd:import namespace="efaba243-fe8d-4ce4-9034-5364d5e55b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15c6e-9807-4b67-b735-190d9044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ba243-fe8d-4ce4-9034-5364d5e55b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ef0825-e9fd-4efa-9976-82909f437737}" ma:internalName="TaxCatchAll" ma:showField="CatchAllData" ma:web="efaba243-fe8d-4ce4-9034-5364d5e5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aba243-fe8d-4ce4-9034-5364d5e55ba5">
      <UserInfo>
        <DisplayName>Hepworth, Sarah (OE)</DisplayName>
        <AccountId>46</AccountId>
        <AccountType/>
      </UserInfo>
      <UserInfo>
        <DisplayName>Griffiths, Michelle (OE Business Delivery)</DisplayName>
        <AccountId>79</AccountId>
        <AccountType/>
      </UserInfo>
      <UserInfo>
        <DisplayName>Munns, David (CDIO)</DisplayName>
        <AccountId>15</AccountId>
        <AccountType/>
      </UserInfo>
      <UserInfo>
        <DisplayName>Wells, David (OE)</DisplayName>
        <AccountId>90</AccountId>
        <AccountType/>
      </UserInfo>
      <UserInfo>
        <DisplayName>Housley, Peter (CDIO Enterprise Platform Services)</DisplayName>
        <AccountId>139</AccountId>
        <AccountType/>
      </UserInfo>
      <UserInfo>
        <DisplayName>Mahmood, Sajid (CDIO)</DisplayName>
        <AccountId>140</AccountId>
        <AccountType/>
      </UserInfo>
      <UserInfo>
        <DisplayName>Hume, ELIZABETH (CDIO)</DisplayName>
        <AccountId>141</AccountId>
        <AccountType/>
      </UserInfo>
    </SharedWithUsers>
    <Comments xmlns="3d815c6e-9807-4b67-b735-190d90443c26" xsi:nil="true"/>
    <lcf76f155ced4ddcb4097134ff3c332f xmlns="3d815c6e-9807-4b67-b735-190d90443c26">
      <Terms xmlns="http://schemas.microsoft.com/office/infopath/2007/PartnerControls"/>
    </lcf76f155ced4ddcb4097134ff3c332f>
    <TaxCatchAll xmlns="efaba243-fe8d-4ce4-9034-5364d5e55b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7DFFF-A3F1-4234-947A-537E0A9B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15c6e-9807-4b67-b735-190d90443c26"/>
    <ds:schemaRef ds:uri="efaba243-fe8d-4ce4-9034-5364d5e5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ACEDD-82A5-46F1-9371-1472EC44814F}">
  <ds:schemaRefs>
    <ds:schemaRef ds:uri="http://schemas.microsoft.com/office/2006/metadata/properties"/>
    <ds:schemaRef ds:uri="http://schemas.microsoft.com/office/infopath/2007/PartnerControls"/>
    <ds:schemaRef ds:uri="efaba243-fe8d-4ce4-9034-5364d5e55ba5"/>
    <ds:schemaRef ds:uri="3d815c6e-9807-4b67-b735-190d90443c26"/>
  </ds:schemaRefs>
</ds:datastoreItem>
</file>

<file path=customXml/itemProps3.xml><?xml version="1.0" encoding="utf-8"?>
<ds:datastoreItem xmlns:ds="http://schemas.openxmlformats.org/officeDocument/2006/customXml" ds:itemID="{63EC0642-8A52-45DD-8A17-4B32332B4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2023-03-01T15:30:00Z</dcterms:created>
  <dcterms:modified xsi:type="dcterms:W3CDTF">2023-03-01T15:30:00Z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2020-11-09T15:46:34Z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676c6f06-4865-42bd-8efe-1c01bf274e2e</vt:lpwstr>
  </property>
  <property fmtid="{D5CDD505-2E9C-101B-9397-08002B2CF9AE}" pid="8" name="MSIP_Label_f9af038e-07b4-4369-a678-c835687cb272_ContentBits">
    <vt:lpwstr>2</vt:lpwstr>
  </property>
  <property fmtid="{D5CDD505-2E9C-101B-9397-08002B2CF9AE}" pid="9" name="ContentTypeId">
    <vt:lpwstr>0x010100743F647E3430474AB24325A355AC0598</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ies>
</file>